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MStart" w:displacedByCustomXml="next"/>
    <w:bookmarkEnd w:id="0" w:displacedByCustomXml="next"/>
    <w:sdt>
      <w:sdtPr>
        <w:rPr>
          <w:rStyle w:val="Rubrik1Char"/>
          <w:b/>
          <w:bCs/>
        </w:rPr>
        <w:alias w:val="Ärendemening"/>
        <w:tag w:val="Beskrivning"/>
        <w:id w:val="-1694606521"/>
        <w:lock w:val="sdtLocked"/>
        <w:placeholder>
          <w:docPart w:val="024825ABC0634B1BB190601DAA058302"/>
        </w:placeholder>
        <w:dataBinding w:xpath="/Global_InternalDocument[1]/Description[1]" w:storeItemID="{F3FE110A-0788-4EED-98DF-3E653F1D8601}"/>
        <w:text w:multiLine="1"/>
      </w:sdtPr>
      <w:sdtEndPr>
        <w:rPr>
          <w:rStyle w:val="Standardstycketeckensnitt"/>
        </w:rPr>
      </w:sdtEndPr>
      <w:sdtContent>
        <w:p w:rsidR="00AA2F58" w:rsidRPr="00650D91" w:rsidRDefault="00954052" w:rsidP="00E035DD">
          <w:pPr>
            <w:pStyle w:val="Rubrik1"/>
            <w:spacing w:before="0"/>
            <w:rPr>
              <w:lang w:val="en-US"/>
            </w:rPr>
          </w:pPr>
          <w:r>
            <w:rPr>
              <w:rStyle w:val="Rubrik1Char"/>
              <w:b/>
              <w:bCs/>
            </w:rPr>
            <w:t>Nationell läkemedelslista</w:t>
          </w:r>
          <w:r w:rsidR="008156CA">
            <w:rPr>
              <w:rStyle w:val="Rubrik1Char"/>
              <w:b/>
              <w:bCs/>
            </w:rPr>
            <w:t>:</w:t>
          </w:r>
          <w:r>
            <w:rPr>
              <w:rStyle w:val="Rubrik1Char"/>
              <w:b/>
              <w:bCs/>
            </w:rPr>
            <w:t xml:space="preserve"> åtkomst, samtycken och spärrar</w:t>
          </w:r>
        </w:p>
      </w:sdtContent>
    </w:sdt>
    <w:p w:rsidR="008156CA" w:rsidRDefault="008156CA" w:rsidP="008D1C33">
      <w:pPr>
        <w:spacing w:line="276" w:lineRule="auto"/>
      </w:pPr>
    </w:p>
    <w:p w:rsidR="008156CA" w:rsidRDefault="008156CA" w:rsidP="008156CA">
      <w:r>
        <w:t>1 maj 2021 trädde Lag (2018:1212) om Nationell läkemedelslista (NLL) i kraft. Syftet med NLL är att ge hälso- och sjukvården, apoteken och patienten samma bild av patientens förskrivna och uthämtade läkemedel, det som tidigare endast gällt för dospatienter</w:t>
      </w:r>
      <w:r>
        <w:t>. </w:t>
      </w:r>
      <w:r>
        <w:br/>
        <w:t xml:space="preserve">E-hälsomyndigheten </w:t>
      </w:r>
      <w:r>
        <w:t>har på uppdrag av regeringen tagit fram ett nytt register som regleras av den nya lagen. Samtliga vårdinformations- och apotekssystem ska anpassas till att använda de nya tjänsterna för Nationella läkemedelslistan under en så kallad övergångsperiod.</w:t>
      </w:r>
    </w:p>
    <w:p w:rsidR="008156CA" w:rsidRDefault="008156CA" w:rsidP="008D1C33">
      <w:pPr>
        <w:spacing w:line="276" w:lineRule="auto"/>
      </w:pPr>
    </w:p>
    <w:p w:rsidR="00954052" w:rsidRDefault="00954052" w:rsidP="00954052">
      <w:pPr>
        <w:pStyle w:val="Rubrik2"/>
        <w:rPr>
          <w:rStyle w:val="normaltextrun"/>
        </w:rPr>
      </w:pPr>
      <w:r>
        <w:rPr>
          <w:rStyle w:val="normaltextrun"/>
        </w:rPr>
        <w:t xml:space="preserve">Åtkomst till NLL </w:t>
      </w:r>
    </w:p>
    <w:p w:rsidR="00954052" w:rsidRDefault="00954052" w:rsidP="00954052">
      <w:r>
        <w:t xml:space="preserve">Nationell läkemedelslista finns </w:t>
      </w:r>
      <w:r w:rsidR="008156CA">
        <w:t xml:space="preserve">åtkomlig för vårdpersonal </w:t>
      </w:r>
      <w:r>
        <w:t>i Förskrivningskollen samt i Pascal 3.0</w:t>
      </w:r>
      <w:r w:rsidR="008156CA">
        <w:t xml:space="preserve"> (införs 2024-05-25)</w:t>
      </w:r>
      <w:r>
        <w:t xml:space="preserve">. Skillnaden är att </w:t>
      </w:r>
      <w:r w:rsidR="008156CA">
        <w:t>förskrivningar för patienter med</w:t>
      </w:r>
      <w:r>
        <w:t xml:space="preserve"> dosförpackade läkemedel endast kan hanteras i Pascal 3.0 och inte i Förskrivningskollen. </w:t>
      </w:r>
    </w:p>
    <w:p w:rsidR="008156CA" w:rsidRPr="00954052" w:rsidRDefault="008156CA" w:rsidP="00954052">
      <w:r>
        <w:t>P</w:t>
      </w:r>
      <w:r w:rsidR="00303606">
        <w:t>atienter har</w:t>
      </w:r>
      <w:r>
        <w:t xml:space="preserve"> tillgång till information i NLL </w:t>
      </w:r>
      <w:bookmarkStart w:id="1" w:name="_GoBack"/>
      <w:bookmarkEnd w:id="1"/>
      <w:r>
        <w:t>i Läkemedelskollen som hittas via e-hälsomyndighetens webbplats eller via 1177.</w:t>
      </w:r>
    </w:p>
    <w:p w:rsidR="00954052" w:rsidRDefault="00954052" w:rsidP="00954052">
      <w:pPr>
        <w:pStyle w:val="Rubrik3"/>
        <w:rPr>
          <w:rStyle w:val="normaltextrun"/>
        </w:rPr>
      </w:pPr>
      <w:r>
        <w:rPr>
          <w:rStyle w:val="normaltextrun"/>
        </w:rPr>
        <w:t>Behörighet att läsa NLL</w:t>
      </w:r>
    </w:p>
    <w:p w:rsidR="00954052" w:rsidRDefault="00954052" w:rsidP="00954052">
      <w:pPr>
        <w:rPr>
          <w:rStyle w:val="normaltextrun"/>
          <w:rFonts w:eastAsiaTheme="majorEastAsia"/>
        </w:rPr>
      </w:pPr>
      <w:r>
        <w:rPr>
          <w:rStyle w:val="normaltextrun"/>
          <w:rFonts w:eastAsiaTheme="majorEastAsia"/>
        </w:rPr>
        <w:t>Legitimerad användare enligt nedan samt AT-läkare och underläkare har behörighet att läsa information i NLL. Observera att det är uppgifter i HSA som styr åtkomsten till NLL.</w:t>
      </w:r>
    </w:p>
    <w:p w:rsidR="00954052" w:rsidRPr="00954052" w:rsidRDefault="00954052" w:rsidP="00954052">
      <w:pPr>
        <w:pStyle w:val="Liststycke"/>
        <w:numPr>
          <w:ilvl w:val="0"/>
          <w:numId w:val="13"/>
        </w:numPr>
        <w:rPr>
          <w:rStyle w:val="normaltextrun"/>
          <w:rFonts w:ascii="Times New Roman" w:eastAsiaTheme="majorEastAsia" w:hAnsi="Times New Roman" w:cs="Times New Roman"/>
          <w:sz w:val="24"/>
          <w:szCs w:val="24"/>
        </w:rPr>
      </w:pPr>
      <w:r w:rsidRPr="00954052">
        <w:rPr>
          <w:rStyle w:val="normaltextrun"/>
          <w:rFonts w:ascii="Times New Roman" w:eastAsiaTheme="majorEastAsia" w:hAnsi="Times New Roman" w:cs="Times New Roman"/>
          <w:sz w:val="24"/>
          <w:szCs w:val="24"/>
        </w:rPr>
        <w:t>Läkare</w:t>
      </w:r>
    </w:p>
    <w:p w:rsidR="00954052" w:rsidRPr="00954052" w:rsidRDefault="00954052" w:rsidP="00954052">
      <w:pPr>
        <w:pStyle w:val="Liststycke"/>
        <w:numPr>
          <w:ilvl w:val="0"/>
          <w:numId w:val="13"/>
        </w:numPr>
        <w:rPr>
          <w:rStyle w:val="normaltextrun"/>
          <w:rFonts w:ascii="Times New Roman" w:eastAsiaTheme="majorEastAsia" w:hAnsi="Times New Roman" w:cs="Times New Roman"/>
          <w:sz w:val="24"/>
          <w:szCs w:val="24"/>
        </w:rPr>
      </w:pPr>
      <w:r w:rsidRPr="00954052">
        <w:rPr>
          <w:rStyle w:val="normaltextrun"/>
          <w:rFonts w:ascii="Times New Roman" w:eastAsiaTheme="majorEastAsia" w:hAnsi="Times New Roman" w:cs="Times New Roman"/>
          <w:sz w:val="24"/>
          <w:szCs w:val="24"/>
        </w:rPr>
        <w:t>Sjuksköterska</w:t>
      </w:r>
    </w:p>
    <w:p w:rsidR="00954052" w:rsidRPr="00954052" w:rsidRDefault="00954052" w:rsidP="00954052">
      <w:pPr>
        <w:pStyle w:val="Liststycke"/>
        <w:numPr>
          <w:ilvl w:val="0"/>
          <w:numId w:val="13"/>
        </w:numPr>
        <w:rPr>
          <w:rStyle w:val="normaltextrun"/>
          <w:rFonts w:ascii="Times New Roman" w:eastAsiaTheme="majorEastAsia" w:hAnsi="Times New Roman" w:cs="Times New Roman"/>
          <w:sz w:val="24"/>
          <w:szCs w:val="24"/>
        </w:rPr>
      </w:pPr>
      <w:r w:rsidRPr="00954052">
        <w:rPr>
          <w:rStyle w:val="normaltextrun"/>
          <w:rFonts w:ascii="Times New Roman" w:eastAsiaTheme="majorEastAsia" w:hAnsi="Times New Roman" w:cs="Times New Roman"/>
          <w:sz w:val="24"/>
          <w:szCs w:val="24"/>
        </w:rPr>
        <w:t>Barnmorska</w:t>
      </w:r>
    </w:p>
    <w:p w:rsidR="00954052" w:rsidRPr="00954052" w:rsidRDefault="00954052" w:rsidP="00954052">
      <w:pPr>
        <w:pStyle w:val="Liststycke"/>
        <w:numPr>
          <w:ilvl w:val="0"/>
          <w:numId w:val="13"/>
        </w:numPr>
        <w:rPr>
          <w:rStyle w:val="normaltextrun"/>
          <w:rFonts w:ascii="Times New Roman" w:eastAsiaTheme="majorEastAsia" w:hAnsi="Times New Roman" w:cs="Times New Roman"/>
          <w:sz w:val="24"/>
          <w:szCs w:val="24"/>
        </w:rPr>
      </w:pPr>
      <w:r w:rsidRPr="00954052">
        <w:rPr>
          <w:rStyle w:val="normaltextrun"/>
          <w:rFonts w:ascii="Times New Roman" w:eastAsiaTheme="majorEastAsia" w:hAnsi="Times New Roman" w:cs="Times New Roman"/>
          <w:sz w:val="24"/>
          <w:szCs w:val="24"/>
        </w:rPr>
        <w:t>Dietist</w:t>
      </w:r>
    </w:p>
    <w:p w:rsidR="00954052" w:rsidRPr="00954052" w:rsidRDefault="00954052" w:rsidP="00954052">
      <w:pPr>
        <w:pStyle w:val="Liststycke"/>
        <w:numPr>
          <w:ilvl w:val="0"/>
          <w:numId w:val="13"/>
        </w:numPr>
        <w:rPr>
          <w:rStyle w:val="normaltextrun"/>
          <w:rFonts w:ascii="Times New Roman" w:eastAsiaTheme="majorEastAsia" w:hAnsi="Times New Roman" w:cs="Times New Roman"/>
          <w:sz w:val="24"/>
          <w:szCs w:val="24"/>
        </w:rPr>
      </w:pPr>
      <w:r w:rsidRPr="00954052">
        <w:rPr>
          <w:rStyle w:val="normaltextrun"/>
          <w:rFonts w:ascii="Times New Roman" w:eastAsiaTheme="majorEastAsia" w:hAnsi="Times New Roman" w:cs="Times New Roman"/>
          <w:sz w:val="24"/>
          <w:szCs w:val="24"/>
        </w:rPr>
        <w:t>Apotekare</w:t>
      </w:r>
    </w:p>
    <w:p w:rsidR="00954052" w:rsidRPr="00954052" w:rsidRDefault="00954052" w:rsidP="00954052">
      <w:pPr>
        <w:pStyle w:val="Liststycke"/>
        <w:numPr>
          <w:ilvl w:val="0"/>
          <w:numId w:val="13"/>
        </w:numPr>
        <w:rPr>
          <w:rStyle w:val="normaltextrun"/>
          <w:rFonts w:ascii="Times New Roman" w:eastAsiaTheme="majorEastAsia" w:hAnsi="Times New Roman" w:cs="Times New Roman"/>
          <w:sz w:val="24"/>
          <w:szCs w:val="24"/>
        </w:rPr>
      </w:pPr>
      <w:r w:rsidRPr="00954052">
        <w:rPr>
          <w:rStyle w:val="normaltextrun"/>
          <w:rFonts w:ascii="Times New Roman" w:eastAsiaTheme="majorEastAsia" w:hAnsi="Times New Roman" w:cs="Times New Roman"/>
          <w:sz w:val="24"/>
          <w:szCs w:val="24"/>
        </w:rPr>
        <w:t>Tandläkare</w:t>
      </w:r>
    </w:p>
    <w:p w:rsidR="00954052" w:rsidRPr="00954052" w:rsidRDefault="00954052" w:rsidP="00954052">
      <w:pPr>
        <w:pStyle w:val="Liststycke"/>
        <w:numPr>
          <w:ilvl w:val="0"/>
          <w:numId w:val="13"/>
        </w:numPr>
        <w:rPr>
          <w:rStyle w:val="normaltextrun"/>
          <w:rFonts w:ascii="Times New Roman" w:eastAsiaTheme="majorEastAsia" w:hAnsi="Times New Roman" w:cs="Times New Roman"/>
          <w:sz w:val="24"/>
          <w:szCs w:val="24"/>
        </w:rPr>
      </w:pPr>
      <w:r w:rsidRPr="00954052">
        <w:rPr>
          <w:rStyle w:val="normaltextrun"/>
          <w:rFonts w:ascii="Times New Roman" w:eastAsiaTheme="majorEastAsia" w:hAnsi="Times New Roman" w:cs="Times New Roman"/>
          <w:sz w:val="24"/>
          <w:szCs w:val="24"/>
        </w:rPr>
        <w:t>Tandhygienist</w:t>
      </w:r>
    </w:p>
    <w:p w:rsidR="00954052" w:rsidRDefault="00954052" w:rsidP="00954052">
      <w:pPr>
        <w:pStyle w:val="Rubrik2"/>
        <w:rPr>
          <w:rStyle w:val="normaltextrun"/>
        </w:rPr>
      </w:pPr>
    </w:p>
    <w:p w:rsidR="00954052" w:rsidRDefault="00954052" w:rsidP="00954052">
      <w:pPr>
        <w:pStyle w:val="Rubrik2"/>
        <w:rPr>
          <w:rFonts w:eastAsia="Times New Roman"/>
        </w:rPr>
      </w:pPr>
      <w:r>
        <w:t xml:space="preserve">Samtycken </w:t>
      </w:r>
      <w:r w:rsidR="008156CA">
        <w:t xml:space="preserve">för åtkomst </w:t>
      </w:r>
      <w:r>
        <w:t xml:space="preserve">till Nationella läkemedelslistan </w:t>
      </w:r>
    </w:p>
    <w:p w:rsidR="00954052" w:rsidRDefault="00954052" w:rsidP="00954052">
      <w:r>
        <w:t>För att få direktåtkomst till en patients uppgifter i NLL krävs patientens samtycke.</w:t>
      </w:r>
    </w:p>
    <w:p w:rsidR="00954052" w:rsidRDefault="00954052" w:rsidP="00954052">
      <w:r>
        <w:t xml:space="preserve">Det finns flera olika </w:t>
      </w:r>
      <w:r>
        <w:t>typer av samtycke för patienter</w:t>
      </w:r>
      <w:r>
        <w:t>. De flesta av dessa gäller endast för en användare och en vårdkontakt/ett tillfälle.</w:t>
      </w:r>
    </w:p>
    <w:p w:rsidR="00954052" w:rsidRDefault="00954052" w:rsidP="00954052">
      <w:pPr>
        <w:rPr>
          <w:rFonts w:cstheme="minorHAnsi"/>
          <w:color w:val="FF0000"/>
          <w:spacing w:val="-1"/>
          <w:szCs w:val="24"/>
        </w:rPr>
      </w:pPr>
      <w:r>
        <w:rPr>
          <w:rFonts w:cstheme="minorHAnsi"/>
          <w:noProof/>
          <w:color w:val="FF0000"/>
          <w:spacing w:val="-1"/>
          <w:szCs w:val="24"/>
          <w:lang w:eastAsia="sv-SE"/>
        </w:rPr>
        <w:lastRenderedPageBreak/>
        <w:drawing>
          <wp:inline distT="0" distB="0" distL="0" distR="0">
            <wp:extent cx="4707082" cy="41148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1250" cy="4118444"/>
                    </a:xfrm>
                    <a:prstGeom prst="rect">
                      <a:avLst/>
                    </a:prstGeom>
                    <a:noFill/>
                    <a:ln>
                      <a:noFill/>
                    </a:ln>
                  </pic:spPr>
                </pic:pic>
              </a:graphicData>
            </a:graphic>
          </wp:inline>
        </w:drawing>
      </w:r>
    </w:p>
    <w:p w:rsidR="00954052" w:rsidRDefault="00954052" w:rsidP="00954052">
      <w:pPr>
        <w:rPr>
          <w:szCs w:val="24"/>
        </w:rPr>
      </w:pPr>
      <w:r>
        <w:t xml:space="preserve">Exempel på samtyckesval i Pascal 3.0. </w:t>
      </w:r>
      <w:r>
        <w:t>Se mer detaljerad information om respektive åtkomsttyp genom att föra muspekaren över informationssymbolen.</w:t>
      </w:r>
    </w:p>
    <w:p w:rsidR="00954052" w:rsidRDefault="00954052" w:rsidP="00954052">
      <w:pPr>
        <w:pStyle w:val="Rubrik3"/>
        <w:rPr>
          <w:szCs w:val="24"/>
        </w:rPr>
      </w:pPr>
      <w:r>
        <w:t>Tillfälligt samtycke</w:t>
      </w:r>
    </w:p>
    <w:p w:rsidR="00954052" w:rsidRDefault="00954052" w:rsidP="00954052">
      <w:r>
        <w:t>Det tillfälliga samtycket gäller för en användare under en vårdkontakt. För att registrera ett tillfälligt samtycke krävs att patienten lämnar samtycke. För att ta del av recept som patienten eventuellt har spärrat i NLL, krävs ytterligare ett samtycke från patienten, som patienten lämnar efter att åtkomsten har registrerats.</w:t>
      </w:r>
    </w:p>
    <w:p w:rsidR="00954052" w:rsidRDefault="00954052" w:rsidP="00954052">
      <w:pPr>
        <w:pStyle w:val="Rubrik3"/>
      </w:pPr>
      <w:r>
        <w:t>Förmodat samtycke</w:t>
      </w:r>
    </w:p>
    <w:p w:rsidR="00954052" w:rsidRDefault="00954052" w:rsidP="00954052">
      <w:r>
        <w:t>Förmodat samtycke används när patienten är stadigvarande oförmögen att lämna samtycke och användare förmodar att patienten inte skulle motsäga sig detta. Exempel: Hemsjukvårdspersonal behöver komma åt information i NLL om patient med kognitiv svikt. För att ta del av information som patienten eventuellt har spärrat i NLL används i stället åtkomsttypen Nödåtkomst.</w:t>
      </w:r>
    </w:p>
    <w:p w:rsidR="00954052" w:rsidRDefault="00954052" w:rsidP="00954052">
      <w:pPr>
        <w:pStyle w:val="Rubrik3"/>
      </w:pPr>
      <w:r>
        <w:t>Nödåtkomst</w:t>
      </w:r>
    </w:p>
    <w:p w:rsidR="00954052" w:rsidRDefault="00954052" w:rsidP="00954052">
      <w:r>
        <w:t>Åtkomsttypen används vid medicinsk nödsituation när patienten är oförmögen att lämna samtycke. Åtkomsttypen ger information om patientens samtliga förskrivningar och dess uttag, även information som patienten eventuellt har spärrat i NLL.</w:t>
      </w:r>
    </w:p>
    <w:p w:rsidR="00954052" w:rsidRPr="008156CA" w:rsidRDefault="00954052" w:rsidP="008156CA">
      <w:pPr>
        <w:pStyle w:val="Rubrik3"/>
      </w:pPr>
      <w:r w:rsidRPr="008156CA">
        <w:lastRenderedPageBreak/>
        <w:t>Utan samtycke (samtycke nekas eller saknas)</w:t>
      </w:r>
    </w:p>
    <w:p w:rsidR="008156CA" w:rsidRDefault="00954052" w:rsidP="00954052">
      <w:r>
        <w:t>Även om patienten inte ger sitt samtycke får förskrivaren se information om det finns särskilda läkemedel (t.ex. narkotikaklassade läkemedel) förskrivna de sena</w:t>
      </w:r>
      <w:r w:rsidR="008156CA">
        <w:t>ste</w:t>
      </w:r>
      <w:r>
        <w:t xml:space="preserve"> 24 månaderna. </w:t>
      </w:r>
    </w:p>
    <w:p w:rsidR="00954052" w:rsidRDefault="00954052" w:rsidP="00954052">
      <w:r>
        <w:t xml:space="preserve">Information om vilka särskilda läkemedel som är förskrivna visas inte. </w:t>
      </w:r>
    </w:p>
    <w:p w:rsidR="00954052" w:rsidRDefault="00954052" w:rsidP="00954052">
      <w:pPr>
        <w:pStyle w:val="Rubrik3"/>
      </w:pPr>
      <w:r>
        <w:t>Förfrågan om registrerat åtkomstsamtycke</w:t>
      </w:r>
    </w:p>
    <w:p w:rsidR="00954052" w:rsidRDefault="00954052" w:rsidP="00954052">
      <w:r>
        <w:t xml:space="preserve">För att få ett registrerat samtycke måste patienten godkänna en förfrågan. Förfrågan om registrerat samtycke skickas via valet ”Tillfälligt samtycke + förfrågan”. Patienten godkänner eller avvisar förfrågan i Läkemedelskollen som nås antingen via E-hälsomyndighetens hemsida eller 1177. Om patienten godkänner skapas ett registrerat samtycke som är giltigt i 4 år för den </w:t>
      </w:r>
      <w:r>
        <w:rPr>
          <w:rStyle w:val="Betoning"/>
          <w:rFonts w:cstheme="minorHAnsi"/>
          <w:spacing w:val="-1"/>
        </w:rPr>
        <w:t>enskilda legitimerade hälso- och sjukvårdspersonalen</w:t>
      </w:r>
      <w:r>
        <w:t>. Observera att en förfrågan är giltig i 7 dagar från att den skapats. Besvaras inte förfrågan inom 7 dagar tas den bort automatiskt.</w:t>
      </w:r>
    </w:p>
    <w:p w:rsidR="008156CA" w:rsidRDefault="008156CA" w:rsidP="00954052">
      <w:pPr>
        <w:rPr>
          <w:szCs w:val="24"/>
        </w:rPr>
      </w:pPr>
      <w:r>
        <w:t>(Önskemål finns framförda till e-Hälsomyndigheten om att få ett registrerat samtycke som gäller t.ex. en vårdenhet.)</w:t>
      </w:r>
    </w:p>
    <w:p w:rsidR="00954052" w:rsidRDefault="00954052" w:rsidP="00954052">
      <w:pPr>
        <w:pStyle w:val="Rubrik3"/>
      </w:pPr>
      <w:r>
        <w:t>Dossamtycke</w:t>
      </w:r>
    </w:p>
    <w:p w:rsidR="00954052" w:rsidRDefault="00954052" w:rsidP="00954052">
      <w:pPr>
        <w:rPr>
          <w:rFonts w:asciiTheme="minorHAnsi" w:hAnsiTheme="minorHAnsi"/>
          <w:sz w:val="22"/>
        </w:rPr>
      </w:pPr>
      <w:r>
        <w:t>Dossamtycke registreras för patienter som ansluts till tjänsten för dosförpackade läkemedel.</w:t>
      </w:r>
      <w:r w:rsidR="008156CA">
        <w:t xml:space="preserve"> Detta samtycke kan endast registreras i Pascal och inte i Förskrivningskollen.</w:t>
      </w:r>
      <w:r>
        <w:t xml:space="preserve"> Dossamtycket ger behöriga användare direktåtkomst till NLL. Det innebär att listan med förskrivningar öppnas direkt </w:t>
      </w:r>
      <w:r>
        <w:t xml:space="preserve">för dospatienter </w:t>
      </w:r>
      <w:r>
        <w:t>utan att användare behöver registrera ytterligare samtycke.</w:t>
      </w:r>
    </w:p>
    <w:p w:rsidR="00954052" w:rsidRDefault="00954052" w:rsidP="00954052">
      <w:pPr>
        <w:pStyle w:val="Rubrik2"/>
      </w:pPr>
    </w:p>
    <w:p w:rsidR="00954052" w:rsidRDefault="00954052" w:rsidP="00954052">
      <w:pPr>
        <w:pStyle w:val="Rubrik2"/>
      </w:pPr>
      <w:r>
        <w:t>Åtkomst till NLL för barn under 18 år</w:t>
      </w:r>
    </w:p>
    <w:p w:rsidR="00954052" w:rsidRDefault="00954052" w:rsidP="00954052">
      <w:pPr>
        <w:pStyle w:val="Rubrik3"/>
        <w:rPr>
          <w:rStyle w:val="normaltextrun"/>
        </w:rPr>
      </w:pPr>
      <w:r>
        <w:rPr>
          <w:rStyle w:val="normaltextrun"/>
        </w:rPr>
        <w:t>Barn under 15 år</w:t>
      </w:r>
    </w:p>
    <w:p w:rsidR="00954052" w:rsidRDefault="00954052" w:rsidP="00954052">
      <w:pPr>
        <w:rPr>
          <w:rStyle w:val="normaltextrun"/>
          <w:rFonts w:eastAsiaTheme="majorEastAsia"/>
        </w:rPr>
      </w:pPr>
      <w:r>
        <w:rPr>
          <w:rStyle w:val="normaltextrun"/>
          <w:rFonts w:eastAsiaTheme="majorEastAsia"/>
        </w:rPr>
        <w:t xml:space="preserve">För barn under 15 år har användare alltid direktåtkomst till NLL. Det innebär att listan med förskrivningar öppnas direkt utan att användare behöver registrera samtycke. </w:t>
      </w:r>
    </w:p>
    <w:p w:rsidR="00954052" w:rsidRDefault="00954052" w:rsidP="00954052">
      <w:pPr>
        <w:pStyle w:val="Rubrik3"/>
        <w:rPr>
          <w:rStyle w:val="normaltextrun"/>
        </w:rPr>
      </w:pPr>
      <w:r>
        <w:rPr>
          <w:rStyle w:val="normaltextrun"/>
        </w:rPr>
        <w:t>För barn mellan 15 och 18 år krävs mognadsbedömning</w:t>
      </w:r>
    </w:p>
    <w:p w:rsidR="00954052" w:rsidRDefault="00954052" w:rsidP="00954052">
      <w:pPr>
        <w:rPr>
          <w:rStyle w:val="normaltextrun"/>
          <w:rFonts w:eastAsiaTheme="majorEastAsia"/>
        </w:rPr>
      </w:pPr>
      <w:r>
        <w:rPr>
          <w:rStyle w:val="normaltextrun"/>
          <w:rFonts w:eastAsiaTheme="majorEastAsia"/>
        </w:rPr>
        <w:t>När patienten är mellan 15 och 18 år måste användare utföra en mognadsbedömning. Det innebär att ta ställning till om minderårig patient är tillräckligt mogen för att förstå vilka konsekvenser ett samtycke till NLL innebär (vilket borde gälla i flertalet fall): Om barnet INTE bedöms vara moget, sker direktåtkomst till NLL som för barn under 15 år. Om barnet bedöms vara moget måste barnet lämna ett samtycke precis som vuxna patienter.</w:t>
      </w:r>
    </w:p>
    <w:p w:rsidR="008156CA" w:rsidRDefault="008156CA" w:rsidP="00954052">
      <w:pPr>
        <w:pStyle w:val="Rubrik2"/>
        <w:rPr>
          <w:rStyle w:val="normaltextrun"/>
        </w:rPr>
      </w:pPr>
    </w:p>
    <w:p w:rsidR="00954052" w:rsidRDefault="00954052" w:rsidP="00954052">
      <w:pPr>
        <w:pStyle w:val="Rubrik2"/>
        <w:rPr>
          <w:rStyle w:val="normaltextrun"/>
        </w:rPr>
      </w:pPr>
      <w:r>
        <w:rPr>
          <w:rStyle w:val="normaltextrun"/>
        </w:rPr>
        <w:t>Spärrar</w:t>
      </w:r>
    </w:p>
    <w:p w:rsidR="00954052" w:rsidRDefault="00954052" w:rsidP="00954052">
      <w:pPr>
        <w:pStyle w:val="Rubrik3"/>
        <w:rPr>
          <w:rStyle w:val="normaltextrun"/>
        </w:rPr>
      </w:pPr>
      <w:r>
        <w:rPr>
          <w:rStyle w:val="normaltextrun"/>
        </w:rPr>
        <w:t>Spärrar i NLL</w:t>
      </w:r>
    </w:p>
    <w:p w:rsidR="00954052" w:rsidRDefault="00954052" w:rsidP="00954052">
      <w:pPr>
        <w:rPr>
          <w:rStyle w:val="normaltextrun"/>
          <w:rFonts w:eastAsiaTheme="majorEastAsia"/>
        </w:rPr>
      </w:pPr>
      <w:r>
        <w:rPr>
          <w:rStyle w:val="normaltextrun"/>
          <w:rFonts w:eastAsiaTheme="majorEastAsia"/>
        </w:rPr>
        <w:t>Enligt lag om nationell läkemedelslista (2028:1212) har både patient och förskrivare möjlighet att dölja uppgifter om förskrivningar och dess uttag.</w:t>
      </w:r>
    </w:p>
    <w:p w:rsidR="00954052" w:rsidRDefault="00954052" w:rsidP="00954052">
      <w:pPr>
        <w:pStyle w:val="Rubrik3"/>
        <w:rPr>
          <w:rStyle w:val="normaltextrun"/>
        </w:rPr>
      </w:pPr>
      <w:r>
        <w:rPr>
          <w:rStyle w:val="normaltextrun"/>
        </w:rPr>
        <w:lastRenderedPageBreak/>
        <w:t>Integritetsspärr</w:t>
      </w:r>
    </w:p>
    <w:p w:rsidR="00954052" w:rsidRDefault="00954052" w:rsidP="00954052">
      <w:pPr>
        <w:rPr>
          <w:rStyle w:val="normaltextrun"/>
          <w:rFonts w:eastAsiaTheme="majorEastAsia"/>
        </w:rPr>
      </w:pPr>
      <w:r>
        <w:rPr>
          <w:rStyle w:val="normaltextrun"/>
          <w:rFonts w:eastAsiaTheme="majorEastAsia"/>
        </w:rPr>
        <w:t>Av integritetsskäl kan patient som är 18 år och äldre spärra information om förskrivningar och dess uttag i NLL. Detta görs i Läkemedelskollen eller genom att patienten skickar en blankett till E-hälsomyndigheten. För att hälso- och sjukvårdspersonal tillfälligt ska kunna överskrida den spärrade informationen, krävs ytterligare ett samtycke, som patienten lämnar efter att ett samtycke för åtkomst till NLL registrerats.</w:t>
      </w:r>
    </w:p>
    <w:p w:rsidR="00954052" w:rsidRDefault="00954052" w:rsidP="00954052">
      <w:pPr>
        <w:rPr>
          <w:rStyle w:val="normaltextrun"/>
          <w:rFonts w:eastAsiaTheme="majorEastAsia"/>
        </w:rPr>
      </w:pPr>
      <w:r>
        <w:rPr>
          <w:rStyle w:val="normaltextrun"/>
          <w:rFonts w:eastAsiaTheme="majorEastAsia"/>
        </w:rPr>
        <w:t>Användare med förskrivningsrätt ser dock om den spärrade informationen rör särskilda läkemedel (till exempel narkotikaklassade läkemedel) förskrivna under de senaste två åren, utan att patienten lämnar ett ytterligare samtycke. Samtycke att se spärrade förskrivningar är tillfälligt och måste tas varje gång användaren ansluter till NLL. Observera att integritetsspärren endast försvinner helt om/när den tas bort av patienten via Läkemedelskollen eller genom patientens begäran till E-hälsomyndigheten.</w:t>
      </w:r>
    </w:p>
    <w:p w:rsidR="00954052" w:rsidRDefault="00954052" w:rsidP="00954052">
      <w:pPr>
        <w:pStyle w:val="Rubrik3"/>
        <w:rPr>
          <w:rStyle w:val="normaltextrun"/>
        </w:rPr>
      </w:pPr>
      <w:r>
        <w:rPr>
          <w:rStyle w:val="normaltextrun"/>
        </w:rPr>
        <w:t>Sekretesspärr</w:t>
      </w:r>
    </w:p>
    <w:p w:rsidR="00954052" w:rsidRDefault="00954052" w:rsidP="00954052">
      <w:pPr>
        <w:rPr>
          <w:rStyle w:val="normaltextrun"/>
          <w:rFonts w:eastAsiaTheme="majorEastAsia"/>
        </w:rPr>
      </w:pPr>
      <w:r>
        <w:rPr>
          <w:rStyle w:val="normaltextrun"/>
          <w:rFonts w:eastAsiaTheme="majorEastAsia"/>
        </w:rPr>
        <w:t>Om användare med förskrivningsrätt bedömer att patienten far illa genom att ta del av viss information om förskrivningar och dess uttag, kan dessa uppgifter av sekretesskäl spärras i NLL. Sekretesspärrar kan överskridas av användare med förskrivningsrätt utan samtycke från patienten.</w:t>
      </w:r>
    </w:p>
    <w:p w:rsidR="00954052" w:rsidRDefault="00954052" w:rsidP="00954052">
      <w:pPr>
        <w:pStyle w:val="Rubrik3"/>
        <w:rPr>
          <w:rStyle w:val="normaltextrun"/>
        </w:rPr>
      </w:pPr>
      <w:r>
        <w:rPr>
          <w:rStyle w:val="normaltextrun"/>
        </w:rPr>
        <w:t>Vårdnadshavarspärr</w:t>
      </w:r>
    </w:p>
    <w:p w:rsidR="00954052" w:rsidRDefault="00954052" w:rsidP="00954052">
      <w:pPr>
        <w:rPr>
          <w:rStyle w:val="normaltextrun"/>
          <w:rFonts w:eastAsiaTheme="majorEastAsia"/>
          <w:color w:val="FF0000"/>
        </w:rPr>
      </w:pPr>
      <w:r>
        <w:rPr>
          <w:rStyle w:val="normaltextrun"/>
          <w:rFonts w:eastAsiaTheme="majorEastAsia"/>
        </w:rPr>
        <w:t xml:space="preserve">Vårdnadshavarspärr skapas för att skydda patienter under 18 år från att vårdnadshavare/ombud ska ta del av information om förskrivningar och dess uttag i NLL. Vid vårdnadhavarspärr visas inte förskrivningen eller dess uttag i Läkemedelskollen, på utskrifter från NLL eller i apotekens e-handelssystem. </w:t>
      </w:r>
    </w:p>
    <w:p w:rsidR="00954052" w:rsidRDefault="00954052" w:rsidP="00954052">
      <w:pPr>
        <w:pStyle w:val="Rubrik3"/>
        <w:rPr>
          <w:rStyle w:val="normaltextrun"/>
          <w:color w:val="243F60" w:themeColor="accent1" w:themeShade="7F"/>
        </w:rPr>
      </w:pPr>
      <w:r>
        <w:rPr>
          <w:rStyle w:val="normaltextrun"/>
        </w:rPr>
        <w:t>Spärr av behandlingsorsak</w:t>
      </w:r>
    </w:p>
    <w:p w:rsidR="00954052" w:rsidRDefault="00954052" w:rsidP="00954052">
      <w:pPr>
        <w:rPr>
          <w:rStyle w:val="normaltextrun"/>
          <w:rFonts w:eastAsiaTheme="majorEastAsia"/>
        </w:rPr>
      </w:pPr>
      <w:r>
        <w:rPr>
          <w:rStyle w:val="normaltextrun"/>
          <w:rFonts w:eastAsiaTheme="majorEastAsia"/>
        </w:rPr>
        <w:t xml:space="preserve">Användare med förskrivningsrätt kan spärra behandlingsorsak om det bedöms att patienten skulle ta skada av att se informationen. Vid spärr av behandlingsorsak visas inte informationen i Läkemedelskollen. </w:t>
      </w:r>
    </w:p>
    <w:p w:rsidR="00954052" w:rsidRDefault="00954052" w:rsidP="00954052">
      <w:pPr>
        <w:rPr>
          <w:rStyle w:val="normaltextrun"/>
          <w:rFonts w:eastAsiaTheme="majorEastAsia"/>
          <w:color w:val="FF0000"/>
        </w:rPr>
      </w:pPr>
    </w:p>
    <w:p w:rsidR="00954052" w:rsidRDefault="00954052" w:rsidP="00954052">
      <w:pPr>
        <w:spacing w:line="276" w:lineRule="auto"/>
      </w:pPr>
    </w:p>
    <w:p w:rsidR="00954052" w:rsidRPr="00AA2F58" w:rsidRDefault="00954052" w:rsidP="008D1C33">
      <w:pPr>
        <w:spacing w:line="276" w:lineRule="auto"/>
      </w:pPr>
    </w:p>
    <w:sectPr w:rsidR="00954052" w:rsidRPr="00AA2F58" w:rsidSect="006046C3">
      <w:headerReference w:type="default" r:id="rId10"/>
      <w:footerReference w:type="default" r:id="rId11"/>
      <w:headerReference w:type="first" r:id="rId12"/>
      <w:footerReference w:type="first" r:id="rId13"/>
      <w:pgSz w:w="11906" w:h="16838" w:code="9"/>
      <w:pgMar w:top="737" w:right="1134" w:bottom="1134"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D79" w:rsidRDefault="00BF3D79" w:rsidP="00F473A6">
      <w:r>
        <w:separator/>
      </w:r>
    </w:p>
  </w:endnote>
  <w:endnote w:type="continuationSeparator" w:id="0">
    <w:p w:rsidR="00BF3D79" w:rsidRDefault="00BF3D79" w:rsidP="00F4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92" w:rsidRPr="0052086D" w:rsidRDefault="00BF3D79" w:rsidP="0052086D">
    <w:pPr>
      <w:pStyle w:val="Sidfot"/>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92" w:rsidRDefault="00BF3D79" w:rsidP="003834A5">
    <w:pP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D79" w:rsidRDefault="00BF3D79" w:rsidP="00F473A6">
      <w:r>
        <w:separator/>
      </w:r>
    </w:p>
  </w:footnote>
  <w:footnote w:type="continuationSeparator" w:id="0">
    <w:p w:rsidR="00BF3D79" w:rsidRDefault="00BF3D79" w:rsidP="00F47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742"/>
      <w:gridCol w:w="854"/>
    </w:tblGrid>
    <w:tr w:rsidR="005A5604" w:rsidTr="006046C3">
      <w:trPr>
        <w:trHeight w:hRule="exact" w:val="800"/>
      </w:trPr>
      <w:tc>
        <w:tcPr>
          <w:tcW w:w="5103" w:type="dxa"/>
        </w:tcPr>
        <w:p w:rsidR="005A5604" w:rsidRDefault="00F63B68" w:rsidP="00A028D5">
          <w:bookmarkStart w:id="2" w:name="BMPageNum" w:colFirst="2" w:colLast="2"/>
          <w:bookmarkStart w:id="3" w:name="BMLogoType" w:colFirst="0" w:colLast="0"/>
          <w:r>
            <w:rPr>
              <w:noProof/>
              <w:lang w:eastAsia="sv-SE"/>
            </w:rPr>
            <w:drawing>
              <wp:anchor distT="0" distB="0" distL="114300" distR="114300" simplePos="0" relativeHeight="251659264" behindDoc="0" locked="0" layoutInCell="1" allowOverlap="1" wp14:anchorId="7FDCEFB1" wp14:editId="59E4524F">
                <wp:simplePos x="685800" y="452120"/>
                <wp:positionH relativeFrom="margin">
                  <wp:align>left</wp:align>
                </wp:positionH>
                <wp:positionV relativeFrom="margin">
                  <wp:align>top</wp:align>
                </wp:positionV>
                <wp:extent cx="1872615" cy="466090"/>
                <wp:effectExtent l="0" t="0" r="0" b="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615" cy="466090"/>
                        </a:xfrm>
                        <a:prstGeom prst="rect">
                          <a:avLst/>
                        </a:prstGeom>
                        <a:noFill/>
                        <a:ln>
                          <a:noFill/>
                        </a:ln>
                      </pic:spPr>
                    </pic:pic>
                  </a:graphicData>
                </a:graphic>
              </wp:anchor>
            </w:drawing>
          </w:r>
        </w:p>
      </w:tc>
      <w:sdt>
        <w:sdtPr>
          <w:rPr>
            <w:rFonts w:asciiTheme="minorBidi" w:hAnsiTheme="minorBidi"/>
            <w:sz w:val="20"/>
            <w:szCs w:val="20"/>
          </w:rPr>
          <w:alias w:val="Dokumenttyp"/>
          <w:tag w:val="HandlingstypNamn"/>
          <w:id w:val="-1669404920"/>
          <w:placeholder>
            <w:docPart w:val="EB2E0A2A6A624776B450AF428D05E216"/>
          </w:placeholder>
          <w:dataBinding w:xpath="/Global_InternalDocument[1]/DocumentTypeName[1]" w:storeItemID="{F3FE110A-0788-4EED-98DF-3E653F1D8601}"/>
          <w:text/>
        </w:sdtPr>
        <w:sdtEndPr/>
        <w:sdtContent>
          <w:tc>
            <w:tcPr>
              <w:tcW w:w="3742" w:type="dxa"/>
            </w:tcPr>
            <w:p w:rsidR="005A5604" w:rsidRPr="00C63DBD" w:rsidRDefault="00954052" w:rsidP="000C7AD1">
              <w:pPr>
                <w:spacing w:before="20" w:line="280" w:lineRule="exact"/>
                <w:rPr>
                  <w:rFonts w:asciiTheme="minorBidi" w:hAnsiTheme="minorBidi"/>
                  <w:sz w:val="20"/>
                  <w:szCs w:val="20"/>
                </w:rPr>
              </w:pPr>
              <w:r>
                <w:rPr>
                  <w:rFonts w:asciiTheme="minorBidi" w:hAnsiTheme="minorBidi"/>
                  <w:sz w:val="20"/>
                  <w:szCs w:val="20"/>
                </w:rPr>
                <w:t>INFORMATION</w:t>
              </w:r>
            </w:p>
          </w:tc>
        </w:sdtContent>
      </w:sdt>
      <w:tc>
        <w:tcPr>
          <w:tcW w:w="854" w:type="dxa"/>
        </w:tcPr>
        <w:p w:rsidR="005A5604" w:rsidRPr="00C63DBD" w:rsidRDefault="00F473A6" w:rsidP="000C7AD1">
          <w:pPr>
            <w:spacing w:before="20" w:line="280" w:lineRule="exact"/>
            <w:ind w:left="-57" w:right="-57"/>
            <w:jc w:val="right"/>
            <w:rPr>
              <w:rFonts w:ascii="Arial" w:hAnsi="Arial" w:cs="Arial"/>
              <w:sz w:val="20"/>
              <w:szCs w:val="24"/>
            </w:rPr>
          </w:pPr>
          <w:r w:rsidRPr="00C63DBD">
            <w:rPr>
              <w:rFonts w:ascii="Arial" w:hAnsi="Arial"/>
              <w:sz w:val="20"/>
              <w:szCs w:val="24"/>
            </w:rPr>
            <w:fldChar w:fldCharType="begin"/>
          </w:r>
          <w:r w:rsidRPr="00C63DBD">
            <w:rPr>
              <w:rFonts w:ascii="Arial" w:hAnsi="Arial"/>
              <w:sz w:val="20"/>
              <w:szCs w:val="24"/>
            </w:rPr>
            <w:instrText xml:space="preserve"> PAGE   \* MERGEFORMAT </w:instrText>
          </w:r>
          <w:r w:rsidRPr="00C63DBD">
            <w:rPr>
              <w:rFonts w:ascii="Arial" w:hAnsi="Arial"/>
              <w:sz w:val="20"/>
              <w:szCs w:val="24"/>
            </w:rPr>
            <w:fldChar w:fldCharType="separate"/>
          </w:r>
          <w:r w:rsidR="00303606">
            <w:rPr>
              <w:rFonts w:ascii="Arial" w:hAnsi="Arial"/>
              <w:noProof/>
              <w:sz w:val="20"/>
              <w:szCs w:val="24"/>
            </w:rPr>
            <w:t>2</w:t>
          </w:r>
          <w:r w:rsidRPr="00C63DBD">
            <w:rPr>
              <w:rFonts w:ascii="Arial" w:hAnsi="Arial"/>
              <w:sz w:val="20"/>
              <w:szCs w:val="24"/>
            </w:rPr>
            <w:fldChar w:fldCharType="end"/>
          </w:r>
          <w:r w:rsidRPr="00C63DBD">
            <w:rPr>
              <w:rFonts w:ascii="Arial" w:hAnsi="Arial"/>
              <w:sz w:val="20"/>
              <w:szCs w:val="24"/>
            </w:rPr>
            <w:t>(</w:t>
          </w:r>
          <w:r w:rsidRPr="00C63DBD">
            <w:rPr>
              <w:rFonts w:ascii="Arial" w:hAnsi="Arial"/>
              <w:sz w:val="20"/>
              <w:szCs w:val="24"/>
            </w:rPr>
            <w:fldChar w:fldCharType="begin"/>
          </w:r>
          <w:r w:rsidRPr="00C63DBD">
            <w:rPr>
              <w:rFonts w:ascii="Arial" w:hAnsi="Arial"/>
              <w:sz w:val="20"/>
              <w:szCs w:val="24"/>
            </w:rPr>
            <w:instrText xml:space="preserve"> NUMPAGES   \* MERGEFORMAT </w:instrText>
          </w:r>
          <w:r w:rsidRPr="00C63DBD">
            <w:rPr>
              <w:rFonts w:ascii="Arial" w:hAnsi="Arial"/>
              <w:sz w:val="20"/>
              <w:szCs w:val="24"/>
            </w:rPr>
            <w:fldChar w:fldCharType="separate"/>
          </w:r>
          <w:r w:rsidR="00303606">
            <w:rPr>
              <w:rFonts w:ascii="Arial" w:hAnsi="Arial"/>
              <w:noProof/>
              <w:sz w:val="20"/>
              <w:szCs w:val="24"/>
            </w:rPr>
            <w:t>4</w:t>
          </w:r>
          <w:r w:rsidRPr="00C63DBD">
            <w:rPr>
              <w:rFonts w:ascii="Arial" w:hAnsi="Arial"/>
              <w:sz w:val="20"/>
              <w:szCs w:val="24"/>
            </w:rPr>
            <w:fldChar w:fldCharType="end"/>
          </w:r>
          <w:r w:rsidRPr="00C63DBD">
            <w:rPr>
              <w:rFonts w:ascii="Arial" w:hAnsi="Arial"/>
              <w:sz w:val="20"/>
              <w:szCs w:val="24"/>
            </w:rPr>
            <w:t>)</w:t>
          </w:r>
          <w:r w:rsidR="00F63B68" w:rsidRPr="00C63DBD">
            <w:rPr>
              <w:rFonts w:ascii="Arial" w:hAnsi="Arial"/>
              <w:vanish/>
              <w:sz w:val="20"/>
              <w:szCs w:val="24"/>
            </w:rPr>
            <w:fldChar w:fldCharType="begin"/>
          </w:r>
          <w:r w:rsidR="00F63B68" w:rsidRPr="00C63DBD">
            <w:rPr>
              <w:rFonts w:ascii="Arial" w:hAnsi="Arial"/>
              <w:vanish/>
              <w:sz w:val="20"/>
              <w:szCs w:val="24"/>
            </w:rPr>
            <w:instrText xml:space="preserve"> PAGE </w:instrText>
          </w:r>
          <w:r w:rsidR="00F63B68" w:rsidRPr="00C63DBD">
            <w:rPr>
              <w:rFonts w:ascii="Arial" w:hAnsi="Arial"/>
              <w:vanish/>
              <w:sz w:val="20"/>
              <w:szCs w:val="24"/>
            </w:rPr>
            <w:fldChar w:fldCharType="separate"/>
          </w:r>
          <w:r w:rsidR="00303606">
            <w:rPr>
              <w:rFonts w:ascii="Arial" w:hAnsi="Arial"/>
              <w:noProof/>
              <w:vanish/>
              <w:sz w:val="20"/>
              <w:szCs w:val="24"/>
            </w:rPr>
            <w:t>2</w:t>
          </w:r>
          <w:r w:rsidR="00F63B68" w:rsidRPr="00C63DBD">
            <w:rPr>
              <w:rFonts w:ascii="Arial" w:hAnsi="Arial"/>
              <w:vanish/>
              <w:sz w:val="20"/>
              <w:szCs w:val="24"/>
            </w:rPr>
            <w:fldChar w:fldCharType="end"/>
          </w:r>
          <w:r w:rsidR="00F63B68" w:rsidRPr="00C63DBD">
            <w:rPr>
              <w:rFonts w:ascii="Arial" w:hAnsi="Arial"/>
              <w:vanish/>
              <w:sz w:val="20"/>
              <w:szCs w:val="24"/>
            </w:rPr>
            <w:t>(</w:t>
          </w:r>
          <w:r w:rsidR="00F63B68" w:rsidRPr="00C63DBD">
            <w:rPr>
              <w:rFonts w:ascii="Arial" w:hAnsi="Arial"/>
              <w:vanish/>
              <w:sz w:val="20"/>
              <w:szCs w:val="24"/>
            </w:rPr>
            <w:fldChar w:fldCharType="begin"/>
          </w:r>
          <w:r w:rsidR="00F63B68" w:rsidRPr="00C63DBD">
            <w:rPr>
              <w:rFonts w:ascii="Arial" w:hAnsi="Arial"/>
              <w:vanish/>
              <w:sz w:val="20"/>
              <w:szCs w:val="24"/>
            </w:rPr>
            <w:instrText xml:space="preserve"> NUMPAGES  \* MERGEFORMAT </w:instrText>
          </w:r>
          <w:r w:rsidR="00F63B68" w:rsidRPr="00C63DBD">
            <w:rPr>
              <w:rFonts w:ascii="Arial" w:hAnsi="Arial"/>
              <w:vanish/>
              <w:sz w:val="20"/>
              <w:szCs w:val="24"/>
            </w:rPr>
            <w:fldChar w:fldCharType="separate"/>
          </w:r>
          <w:r w:rsidR="00303606">
            <w:rPr>
              <w:rFonts w:ascii="Arial" w:hAnsi="Arial"/>
              <w:noProof/>
              <w:vanish/>
              <w:sz w:val="20"/>
              <w:szCs w:val="24"/>
            </w:rPr>
            <w:t>4</w:t>
          </w:r>
          <w:r w:rsidR="00F63B68" w:rsidRPr="00C63DBD">
            <w:rPr>
              <w:rFonts w:ascii="Arial" w:hAnsi="Arial"/>
              <w:vanish/>
              <w:sz w:val="20"/>
              <w:szCs w:val="24"/>
            </w:rPr>
            <w:fldChar w:fldCharType="end"/>
          </w:r>
          <w:r w:rsidR="00F63B68" w:rsidRPr="00C63DBD">
            <w:rPr>
              <w:rFonts w:ascii="Arial" w:hAnsi="Arial"/>
              <w:vanish/>
              <w:sz w:val="20"/>
              <w:szCs w:val="24"/>
            </w:rPr>
            <w:t>)</w:t>
          </w:r>
        </w:p>
      </w:tc>
    </w:tr>
    <w:bookmarkEnd w:id="2"/>
    <w:bookmarkEnd w:id="3"/>
    <w:tr w:rsidR="00052092" w:rsidTr="006066F2">
      <w:trPr>
        <w:trHeight w:hRule="exact" w:val="454"/>
      </w:trPr>
      <w:tc>
        <w:tcPr>
          <w:tcW w:w="9699" w:type="dxa"/>
          <w:gridSpan w:val="3"/>
        </w:tcPr>
        <w:p w:rsidR="00052092" w:rsidRPr="00240E69" w:rsidRDefault="00BF3D79" w:rsidP="000C7AD1">
          <w:pPr>
            <w:spacing w:before="20" w:line="280" w:lineRule="exact"/>
            <w:rPr>
              <w:rFonts w:cs="Times New Roman"/>
              <w:szCs w:val="24"/>
            </w:rPr>
          </w:pPr>
        </w:p>
      </w:tc>
    </w:tr>
  </w:tbl>
  <w:p w:rsidR="00052092" w:rsidRDefault="00BF3D79" w:rsidP="0052086D">
    <w:pPr>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000"/>
      <w:gridCol w:w="742"/>
      <w:gridCol w:w="854"/>
    </w:tblGrid>
    <w:tr w:rsidR="006066F2" w:rsidTr="006066F2">
      <w:trPr>
        <w:trHeight w:val="351"/>
      </w:trPr>
      <w:tc>
        <w:tcPr>
          <w:tcW w:w="5103" w:type="dxa"/>
          <w:vMerge w:val="restart"/>
        </w:tcPr>
        <w:p w:rsidR="006066F2" w:rsidRDefault="006066F2" w:rsidP="006046C3">
          <w:r>
            <w:rPr>
              <w:noProof/>
              <w:lang w:eastAsia="sv-SE"/>
            </w:rPr>
            <w:drawing>
              <wp:anchor distT="0" distB="0" distL="114300" distR="114300" simplePos="0" relativeHeight="251669504" behindDoc="0" locked="0" layoutInCell="1" allowOverlap="1" wp14:anchorId="1799A015" wp14:editId="7B9F15F3">
                <wp:simplePos x="685800" y="452120"/>
                <wp:positionH relativeFrom="margin">
                  <wp:align>left</wp:align>
                </wp:positionH>
                <wp:positionV relativeFrom="margin">
                  <wp:align>top</wp:align>
                </wp:positionV>
                <wp:extent cx="1872615" cy="466090"/>
                <wp:effectExtent l="0" t="0" r="0" b="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615" cy="466090"/>
                        </a:xfrm>
                        <a:prstGeom prst="rect">
                          <a:avLst/>
                        </a:prstGeom>
                        <a:noFill/>
                        <a:ln>
                          <a:noFill/>
                        </a:ln>
                      </pic:spPr>
                    </pic:pic>
                  </a:graphicData>
                </a:graphic>
              </wp:anchor>
            </w:drawing>
          </w:r>
        </w:p>
      </w:tc>
      <w:sdt>
        <w:sdtPr>
          <w:rPr>
            <w:rFonts w:asciiTheme="minorBidi" w:hAnsiTheme="minorBidi"/>
            <w:sz w:val="20"/>
            <w:szCs w:val="20"/>
          </w:rPr>
          <w:alias w:val="Dokumenttyp"/>
          <w:tag w:val="HandlingstypNamn"/>
          <w:id w:val="1187484524"/>
          <w:placeholder>
            <w:docPart w:val="C4F4B69D56944D69B9540BC28218BC3C"/>
          </w:placeholder>
          <w:dataBinding w:xpath="/Global_InternalDocument[1]/DocumentTypeName[1]" w:storeItemID="{F3FE110A-0788-4EED-98DF-3E653F1D8601}"/>
          <w:text/>
        </w:sdtPr>
        <w:sdtEndPr/>
        <w:sdtContent>
          <w:tc>
            <w:tcPr>
              <w:tcW w:w="3742" w:type="dxa"/>
              <w:gridSpan w:val="2"/>
            </w:tcPr>
            <w:p w:rsidR="006066F2" w:rsidRPr="00C63DBD" w:rsidRDefault="00954052" w:rsidP="00EF1F22">
              <w:pPr>
                <w:spacing w:before="20" w:line="280" w:lineRule="exact"/>
                <w:rPr>
                  <w:rFonts w:asciiTheme="minorBidi" w:hAnsiTheme="minorBidi"/>
                  <w:sz w:val="20"/>
                  <w:szCs w:val="20"/>
                </w:rPr>
              </w:pPr>
              <w:r>
                <w:rPr>
                  <w:rFonts w:asciiTheme="minorBidi" w:hAnsiTheme="minorBidi"/>
                  <w:sz w:val="20"/>
                  <w:szCs w:val="20"/>
                </w:rPr>
                <w:t>INFORMATION</w:t>
              </w:r>
            </w:p>
          </w:tc>
        </w:sdtContent>
      </w:sdt>
      <w:tc>
        <w:tcPr>
          <w:tcW w:w="854" w:type="dxa"/>
        </w:tcPr>
        <w:p w:rsidR="006066F2" w:rsidRPr="00C63DBD" w:rsidRDefault="006066F2" w:rsidP="00EF1F22">
          <w:pPr>
            <w:spacing w:before="20" w:line="280" w:lineRule="exact"/>
            <w:ind w:left="-57" w:right="-57"/>
            <w:jc w:val="right"/>
            <w:rPr>
              <w:rFonts w:ascii="Arial" w:hAnsi="Arial" w:cs="Arial"/>
              <w:sz w:val="20"/>
              <w:szCs w:val="24"/>
            </w:rPr>
          </w:pPr>
          <w:r w:rsidRPr="00C63DBD">
            <w:rPr>
              <w:rFonts w:ascii="Arial" w:hAnsi="Arial"/>
              <w:sz w:val="20"/>
              <w:szCs w:val="24"/>
            </w:rPr>
            <w:fldChar w:fldCharType="begin"/>
          </w:r>
          <w:r w:rsidRPr="00C63DBD">
            <w:rPr>
              <w:rFonts w:ascii="Arial" w:hAnsi="Arial"/>
              <w:sz w:val="20"/>
              <w:szCs w:val="24"/>
            </w:rPr>
            <w:instrText xml:space="preserve"> PAGE   \* MERGEFORMAT </w:instrText>
          </w:r>
          <w:r w:rsidRPr="00C63DBD">
            <w:rPr>
              <w:rFonts w:ascii="Arial" w:hAnsi="Arial"/>
              <w:sz w:val="20"/>
              <w:szCs w:val="24"/>
            </w:rPr>
            <w:fldChar w:fldCharType="separate"/>
          </w:r>
          <w:r w:rsidR="00303606">
            <w:rPr>
              <w:rFonts w:ascii="Arial" w:hAnsi="Arial"/>
              <w:noProof/>
              <w:sz w:val="20"/>
              <w:szCs w:val="24"/>
            </w:rPr>
            <w:t>1</w:t>
          </w:r>
          <w:r w:rsidRPr="00C63DBD">
            <w:rPr>
              <w:rFonts w:ascii="Arial" w:hAnsi="Arial"/>
              <w:sz w:val="20"/>
              <w:szCs w:val="24"/>
            </w:rPr>
            <w:fldChar w:fldCharType="end"/>
          </w:r>
          <w:r w:rsidRPr="00C63DBD">
            <w:rPr>
              <w:rFonts w:ascii="Arial" w:hAnsi="Arial"/>
              <w:sz w:val="20"/>
              <w:szCs w:val="24"/>
            </w:rPr>
            <w:t>(</w:t>
          </w:r>
          <w:r w:rsidRPr="00C63DBD">
            <w:rPr>
              <w:rFonts w:ascii="Arial" w:hAnsi="Arial"/>
              <w:sz w:val="20"/>
              <w:szCs w:val="24"/>
            </w:rPr>
            <w:fldChar w:fldCharType="begin"/>
          </w:r>
          <w:r w:rsidRPr="00C63DBD">
            <w:rPr>
              <w:rFonts w:ascii="Arial" w:hAnsi="Arial"/>
              <w:sz w:val="20"/>
              <w:szCs w:val="24"/>
            </w:rPr>
            <w:instrText xml:space="preserve"> NUMPAGES   \* MERGEFORMAT </w:instrText>
          </w:r>
          <w:r w:rsidRPr="00C63DBD">
            <w:rPr>
              <w:rFonts w:ascii="Arial" w:hAnsi="Arial"/>
              <w:sz w:val="20"/>
              <w:szCs w:val="24"/>
            </w:rPr>
            <w:fldChar w:fldCharType="separate"/>
          </w:r>
          <w:r w:rsidR="00303606">
            <w:rPr>
              <w:rFonts w:ascii="Arial" w:hAnsi="Arial"/>
              <w:noProof/>
              <w:sz w:val="20"/>
              <w:szCs w:val="24"/>
            </w:rPr>
            <w:t>4</w:t>
          </w:r>
          <w:r w:rsidRPr="00C63DBD">
            <w:rPr>
              <w:rFonts w:ascii="Arial" w:hAnsi="Arial"/>
              <w:sz w:val="20"/>
              <w:szCs w:val="24"/>
            </w:rPr>
            <w:fldChar w:fldCharType="end"/>
          </w:r>
          <w:r w:rsidRPr="00C63DBD">
            <w:rPr>
              <w:rFonts w:ascii="Arial" w:hAnsi="Arial"/>
              <w:sz w:val="20"/>
              <w:szCs w:val="24"/>
            </w:rPr>
            <w:t>)</w:t>
          </w:r>
          <w:r w:rsidRPr="00C63DBD">
            <w:rPr>
              <w:rFonts w:ascii="Arial" w:hAnsi="Arial"/>
              <w:vanish/>
              <w:sz w:val="20"/>
              <w:szCs w:val="24"/>
            </w:rPr>
            <w:fldChar w:fldCharType="begin"/>
          </w:r>
          <w:r w:rsidRPr="00C63DBD">
            <w:rPr>
              <w:rFonts w:ascii="Arial" w:hAnsi="Arial"/>
              <w:vanish/>
              <w:sz w:val="20"/>
              <w:szCs w:val="24"/>
            </w:rPr>
            <w:instrText xml:space="preserve"> PAGE </w:instrText>
          </w:r>
          <w:r w:rsidRPr="00C63DBD">
            <w:rPr>
              <w:rFonts w:ascii="Arial" w:hAnsi="Arial"/>
              <w:vanish/>
              <w:sz w:val="20"/>
              <w:szCs w:val="24"/>
            </w:rPr>
            <w:fldChar w:fldCharType="separate"/>
          </w:r>
          <w:r w:rsidR="00303606">
            <w:rPr>
              <w:rFonts w:ascii="Arial" w:hAnsi="Arial"/>
              <w:noProof/>
              <w:vanish/>
              <w:sz w:val="20"/>
              <w:szCs w:val="24"/>
            </w:rPr>
            <w:t>1</w:t>
          </w:r>
          <w:r w:rsidRPr="00C63DBD">
            <w:rPr>
              <w:rFonts w:ascii="Arial" w:hAnsi="Arial"/>
              <w:vanish/>
              <w:sz w:val="20"/>
              <w:szCs w:val="24"/>
            </w:rPr>
            <w:fldChar w:fldCharType="end"/>
          </w:r>
          <w:r w:rsidRPr="00C63DBD">
            <w:rPr>
              <w:rFonts w:ascii="Arial" w:hAnsi="Arial"/>
              <w:vanish/>
              <w:sz w:val="20"/>
              <w:szCs w:val="24"/>
            </w:rPr>
            <w:t>(</w:t>
          </w:r>
          <w:r w:rsidRPr="00C63DBD">
            <w:rPr>
              <w:rFonts w:ascii="Arial" w:hAnsi="Arial"/>
              <w:vanish/>
              <w:sz w:val="20"/>
              <w:szCs w:val="24"/>
            </w:rPr>
            <w:fldChar w:fldCharType="begin"/>
          </w:r>
          <w:r w:rsidRPr="00C63DBD">
            <w:rPr>
              <w:rFonts w:ascii="Arial" w:hAnsi="Arial"/>
              <w:vanish/>
              <w:sz w:val="20"/>
              <w:szCs w:val="24"/>
            </w:rPr>
            <w:instrText xml:space="preserve"> NUMPAGES  \* MERGEFORMAT </w:instrText>
          </w:r>
          <w:r w:rsidRPr="00C63DBD">
            <w:rPr>
              <w:rFonts w:ascii="Arial" w:hAnsi="Arial"/>
              <w:vanish/>
              <w:sz w:val="20"/>
              <w:szCs w:val="24"/>
            </w:rPr>
            <w:fldChar w:fldCharType="separate"/>
          </w:r>
          <w:r w:rsidR="00303606">
            <w:rPr>
              <w:rFonts w:ascii="Arial" w:hAnsi="Arial"/>
              <w:noProof/>
              <w:vanish/>
              <w:sz w:val="20"/>
              <w:szCs w:val="24"/>
            </w:rPr>
            <w:t>4</w:t>
          </w:r>
          <w:r w:rsidRPr="00C63DBD">
            <w:rPr>
              <w:rFonts w:ascii="Arial" w:hAnsi="Arial"/>
              <w:vanish/>
              <w:sz w:val="20"/>
              <w:szCs w:val="24"/>
            </w:rPr>
            <w:fldChar w:fldCharType="end"/>
          </w:r>
          <w:r w:rsidRPr="00C63DBD">
            <w:rPr>
              <w:rFonts w:ascii="Arial" w:hAnsi="Arial"/>
              <w:vanish/>
              <w:sz w:val="20"/>
              <w:szCs w:val="24"/>
            </w:rPr>
            <w:t>)</w:t>
          </w:r>
        </w:p>
      </w:tc>
    </w:tr>
    <w:tr w:rsidR="006066F2" w:rsidTr="006066F2">
      <w:trPr>
        <w:trHeight w:val="203"/>
      </w:trPr>
      <w:tc>
        <w:tcPr>
          <w:tcW w:w="5103" w:type="dxa"/>
          <w:vMerge/>
        </w:tcPr>
        <w:p w:rsidR="006066F2" w:rsidRDefault="006066F2" w:rsidP="006046C3">
          <w:pPr>
            <w:rPr>
              <w:noProof/>
              <w:lang w:eastAsia="sv-SE"/>
            </w:rPr>
          </w:pPr>
        </w:p>
      </w:tc>
      <w:tc>
        <w:tcPr>
          <w:tcW w:w="3000" w:type="dxa"/>
        </w:tcPr>
        <w:p w:rsidR="006066F2" w:rsidRDefault="006066F2" w:rsidP="00EF1F22">
          <w:pPr>
            <w:spacing w:before="20" w:line="280" w:lineRule="exact"/>
            <w:rPr>
              <w:rFonts w:asciiTheme="minorBidi" w:hAnsiTheme="minorBidi"/>
              <w:sz w:val="20"/>
              <w:szCs w:val="20"/>
            </w:rPr>
          </w:pPr>
        </w:p>
      </w:tc>
      <w:tc>
        <w:tcPr>
          <w:tcW w:w="1596" w:type="dxa"/>
          <w:gridSpan w:val="2"/>
        </w:tcPr>
        <w:p w:rsidR="006066F2" w:rsidRPr="00657A97" w:rsidRDefault="006066F2" w:rsidP="00EF1F22">
          <w:pPr>
            <w:spacing w:before="20" w:line="280" w:lineRule="exact"/>
            <w:ind w:left="-57" w:right="-57"/>
            <w:jc w:val="right"/>
            <w:rPr>
              <w:rFonts w:asciiTheme="minorBidi" w:hAnsiTheme="minorBidi"/>
              <w:sz w:val="20"/>
              <w:szCs w:val="20"/>
            </w:rPr>
          </w:pPr>
        </w:p>
      </w:tc>
    </w:tr>
    <w:tr w:rsidR="006046C3" w:rsidTr="00EF1F22">
      <w:trPr>
        <w:trHeight w:hRule="exact" w:val="280"/>
      </w:trPr>
      <w:tc>
        <w:tcPr>
          <w:tcW w:w="9699" w:type="dxa"/>
          <w:gridSpan w:val="4"/>
        </w:tcPr>
        <w:p w:rsidR="006046C3" w:rsidRPr="00240E69" w:rsidRDefault="006046C3" w:rsidP="00EF1F22">
          <w:pPr>
            <w:spacing w:before="20" w:line="280" w:lineRule="exact"/>
            <w:rPr>
              <w:rFonts w:cs="Times New Roman"/>
              <w:szCs w:val="24"/>
            </w:rPr>
          </w:pPr>
        </w:p>
      </w:tc>
    </w:tr>
    <w:tr w:rsidR="006046C3" w:rsidRPr="001E5719" w:rsidTr="006066F2">
      <w:trPr>
        <w:trHeight w:hRule="exact" w:val="320"/>
      </w:trPr>
      <w:tc>
        <w:tcPr>
          <w:tcW w:w="5103" w:type="dxa"/>
        </w:tcPr>
        <w:p w:rsidR="006046C3" w:rsidRPr="007043CC" w:rsidRDefault="006046C3" w:rsidP="00EF1F22">
          <w:pPr>
            <w:spacing w:line="260" w:lineRule="exact"/>
            <w:rPr>
              <w:rFonts w:cs="Times New Roman"/>
              <w:sz w:val="22"/>
            </w:rPr>
          </w:pPr>
        </w:p>
      </w:tc>
      <w:tc>
        <w:tcPr>
          <w:tcW w:w="4596" w:type="dxa"/>
          <w:gridSpan w:val="3"/>
        </w:tcPr>
        <w:p w:rsidR="006046C3" w:rsidRPr="001E5719" w:rsidRDefault="006046C3" w:rsidP="00EF1F22">
          <w:pPr>
            <w:spacing w:before="20" w:line="280" w:lineRule="exact"/>
            <w:rPr>
              <w:rFonts w:ascii="Arial" w:hAnsi="Arial" w:cs="Arial"/>
              <w:b/>
              <w:szCs w:val="24"/>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bl>
  <w:p w:rsidR="00052092" w:rsidRPr="006046C3" w:rsidRDefault="00BF3D79" w:rsidP="006046C3">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5F6E"/>
    <w:multiLevelType w:val="multilevel"/>
    <w:tmpl w:val="6764EE1A"/>
    <w:lvl w:ilvl="0">
      <w:start w:val="1"/>
      <w:numFmt w:val="decimal"/>
      <w:lvlText w:val="%1"/>
      <w:lvlJc w:val="left"/>
      <w:pPr>
        <w:ind w:left="567" w:hanging="567"/>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64" w:hanging="964"/>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964" w:hanging="964"/>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9F56CA"/>
    <w:multiLevelType w:val="multilevel"/>
    <w:tmpl w:val="A78E8994"/>
    <w:lvl w:ilvl="0">
      <w:start w:val="1"/>
      <w:numFmt w:val="bullet"/>
      <w:pStyle w:val="Punktlista-RjL"/>
      <w:lvlText w:val=""/>
      <w:lvlJc w:val="left"/>
      <w:pPr>
        <w:tabs>
          <w:tab w:val="num" w:pos="567"/>
        </w:tabs>
        <w:ind w:left="284" w:hanging="284"/>
      </w:pPr>
      <w:rPr>
        <w:rFonts w:ascii="Symbol" w:hAnsi="Symbol" w:hint="default"/>
        <w:b w:val="0"/>
        <w:i w:val="0"/>
        <w:sz w:val="24"/>
      </w:rPr>
    </w:lvl>
    <w:lvl w:ilvl="1">
      <w:start w:val="1"/>
      <w:numFmt w:val="bullet"/>
      <w:lvlText w:val="o"/>
      <w:lvlJc w:val="left"/>
      <w:pPr>
        <w:ind w:left="567" w:hanging="283"/>
      </w:pPr>
      <w:rPr>
        <w:rFonts w:ascii="Courier New" w:hAnsi="Courier New" w:hint="default"/>
        <w:b w:val="0"/>
        <w:i w:val="0"/>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01619F6"/>
    <w:multiLevelType w:val="hybridMultilevel"/>
    <w:tmpl w:val="6E648BFA"/>
    <w:lvl w:ilvl="0" w:tplc="A4B05EE8">
      <w:numFmt w:val="bullet"/>
      <w:lvlText w:val="•"/>
      <w:lvlJc w:val="left"/>
      <w:pPr>
        <w:ind w:left="720" w:hanging="360"/>
      </w:pPr>
      <w:rPr>
        <w:rFonts w:ascii="Calibri" w:eastAsiaTheme="majorEastAsia"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7E5C70B1"/>
    <w:multiLevelType w:val="hybridMultilevel"/>
    <w:tmpl w:val="148ECFDE"/>
    <w:lvl w:ilvl="0" w:tplc="DDBE6654">
      <w:start w:val="1"/>
      <w:numFmt w:val="decimal"/>
      <w:pStyle w:val="Numreradlista-RjL"/>
      <w:lvlText w:val="%1."/>
      <w:lvlJc w:val="left"/>
      <w:pPr>
        <w:ind w:left="720" w:hanging="360"/>
      </w:pPr>
      <w:rPr>
        <w:rFonts w:ascii="Times New Roman" w:hAnsi="Times New Roman" w:hint="default"/>
        <w:b w:val="0"/>
        <w:i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0"/>
  </w:num>
  <w:num w:numId="5">
    <w:abstractNumId w:val="0"/>
  </w:num>
  <w:num w:numId="6">
    <w:abstractNumId w:val="1"/>
  </w:num>
  <w:num w:numId="7">
    <w:abstractNumId w:val="3"/>
  </w:num>
  <w:num w:numId="8">
    <w:abstractNumId w:val="0"/>
  </w:num>
  <w:num w:numId="9">
    <w:abstractNumId w:val="0"/>
  </w:num>
  <w:num w:numId="10">
    <w:abstractNumId w:val="0"/>
  </w:num>
  <w:num w:numId="11">
    <w:abstractNumId w:val="0"/>
  </w:num>
  <w:num w:numId="12">
    <w:abstractNumId w:val="1"/>
  </w:num>
  <w:num w:numId="1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A6"/>
    <w:rsid w:val="000C3B06"/>
    <w:rsid w:val="00183B97"/>
    <w:rsid w:val="00185CC3"/>
    <w:rsid w:val="001A4E94"/>
    <w:rsid w:val="002565CD"/>
    <w:rsid w:val="002A2E7C"/>
    <w:rsid w:val="002B34D0"/>
    <w:rsid w:val="00303606"/>
    <w:rsid w:val="00365651"/>
    <w:rsid w:val="003C4CCA"/>
    <w:rsid w:val="003F6254"/>
    <w:rsid w:val="003F7652"/>
    <w:rsid w:val="0040333C"/>
    <w:rsid w:val="00547EAF"/>
    <w:rsid w:val="006046C3"/>
    <w:rsid w:val="006066F2"/>
    <w:rsid w:val="006329D0"/>
    <w:rsid w:val="00650D91"/>
    <w:rsid w:val="00657A97"/>
    <w:rsid w:val="00684D96"/>
    <w:rsid w:val="0069101B"/>
    <w:rsid w:val="006A2CE5"/>
    <w:rsid w:val="006A4239"/>
    <w:rsid w:val="007E19DF"/>
    <w:rsid w:val="008156CA"/>
    <w:rsid w:val="00894F1E"/>
    <w:rsid w:val="008D1C33"/>
    <w:rsid w:val="00954052"/>
    <w:rsid w:val="00966873"/>
    <w:rsid w:val="00A573F7"/>
    <w:rsid w:val="00AA2F58"/>
    <w:rsid w:val="00AF5DD1"/>
    <w:rsid w:val="00BF3D79"/>
    <w:rsid w:val="00BF72BF"/>
    <w:rsid w:val="00C03042"/>
    <w:rsid w:val="00C13950"/>
    <w:rsid w:val="00C2776E"/>
    <w:rsid w:val="00C63DBD"/>
    <w:rsid w:val="00C95866"/>
    <w:rsid w:val="00CC0126"/>
    <w:rsid w:val="00D314E6"/>
    <w:rsid w:val="00DC3FB7"/>
    <w:rsid w:val="00E035DD"/>
    <w:rsid w:val="00E05DC4"/>
    <w:rsid w:val="00E23A26"/>
    <w:rsid w:val="00E42CC8"/>
    <w:rsid w:val="00E7096D"/>
    <w:rsid w:val="00EB7A74"/>
    <w:rsid w:val="00F058C1"/>
    <w:rsid w:val="00F24B8D"/>
    <w:rsid w:val="00F473A6"/>
    <w:rsid w:val="00F63B6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BE39F"/>
  <w15:docId w15:val="{A7E0AA4F-FE38-4DDC-B6B9-21B811F5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D91"/>
    <w:pPr>
      <w:spacing w:line="240" w:lineRule="auto"/>
    </w:pPr>
    <w:rPr>
      <w:rFonts w:ascii="Times New Roman" w:hAnsi="Times New Roman"/>
      <w:sz w:val="24"/>
    </w:rPr>
  </w:style>
  <w:style w:type="paragraph" w:styleId="Rubrik1">
    <w:name w:val="heading 1"/>
    <w:next w:val="Normal"/>
    <w:link w:val="Rubrik1Char"/>
    <w:uiPriority w:val="1"/>
    <w:qFormat/>
    <w:rsid w:val="00894F1E"/>
    <w:pPr>
      <w:keepNext/>
      <w:keepLines/>
      <w:spacing w:before="360" w:after="0" w:line="240" w:lineRule="auto"/>
      <w:outlineLvl w:val="0"/>
    </w:pPr>
    <w:rPr>
      <w:rFonts w:ascii="Arial" w:eastAsiaTheme="majorEastAsia" w:hAnsi="Arial" w:cstheme="majorBidi"/>
      <w:b/>
      <w:bCs/>
      <w:sz w:val="32"/>
      <w:szCs w:val="28"/>
    </w:rPr>
  </w:style>
  <w:style w:type="paragraph" w:styleId="Rubrik2">
    <w:name w:val="heading 2"/>
    <w:next w:val="Normal"/>
    <w:link w:val="Rubrik2Char"/>
    <w:uiPriority w:val="2"/>
    <w:qFormat/>
    <w:rsid w:val="00894F1E"/>
    <w:pPr>
      <w:keepNext/>
      <w:keepLines/>
      <w:spacing w:before="200" w:after="0" w:line="240" w:lineRule="auto"/>
      <w:outlineLvl w:val="1"/>
    </w:pPr>
    <w:rPr>
      <w:rFonts w:ascii="Arial" w:eastAsiaTheme="majorEastAsia" w:hAnsi="Arial" w:cstheme="majorBidi"/>
      <w:b/>
      <w:bCs/>
      <w:sz w:val="28"/>
      <w:szCs w:val="26"/>
    </w:rPr>
  </w:style>
  <w:style w:type="paragraph" w:styleId="Rubrik3">
    <w:name w:val="heading 3"/>
    <w:next w:val="Normal"/>
    <w:link w:val="Rubrik3Char"/>
    <w:uiPriority w:val="3"/>
    <w:qFormat/>
    <w:rsid w:val="00894F1E"/>
    <w:pPr>
      <w:keepNext/>
      <w:keepLines/>
      <w:spacing w:before="200" w:after="0" w:line="240" w:lineRule="auto"/>
      <w:outlineLvl w:val="2"/>
    </w:pPr>
    <w:rPr>
      <w:rFonts w:ascii="Arial" w:eastAsiaTheme="majorEastAsia" w:hAnsi="Arial" w:cstheme="majorBidi"/>
      <w:b/>
      <w:bCs/>
      <w:sz w:val="24"/>
    </w:rPr>
  </w:style>
  <w:style w:type="paragraph" w:styleId="Rubrik4">
    <w:name w:val="heading 4"/>
    <w:basedOn w:val="Normal"/>
    <w:next w:val="Normal"/>
    <w:link w:val="Rubrik4Char"/>
    <w:uiPriority w:val="4"/>
    <w:qFormat/>
    <w:rsid w:val="00E05DC4"/>
    <w:pPr>
      <w:keepNext/>
      <w:keepLines/>
      <w:spacing w:before="200" w:after="0"/>
      <w:outlineLvl w:val="3"/>
    </w:pPr>
    <w:rPr>
      <w:rFonts w:ascii="Arial" w:eastAsiaTheme="majorEastAsia" w:hAnsi="Arial"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umreradlista-RjL">
    <w:name w:val="Numrerad lista - RjL"/>
    <w:basedOn w:val="Normal"/>
    <w:uiPriority w:val="10"/>
    <w:qFormat/>
    <w:rsid w:val="00183B97"/>
    <w:pPr>
      <w:numPr>
        <w:numId w:val="7"/>
      </w:numPr>
      <w:tabs>
        <w:tab w:val="left" w:pos="567"/>
      </w:tabs>
      <w:spacing w:before="120"/>
      <w:ind w:left="568" w:hanging="284"/>
    </w:pPr>
  </w:style>
  <w:style w:type="paragraph" w:customStyle="1" w:styleId="Punktlista-RjL">
    <w:name w:val="Punktlista -  RjL"/>
    <w:uiPriority w:val="9"/>
    <w:qFormat/>
    <w:rsid w:val="00183B97"/>
    <w:pPr>
      <w:numPr>
        <w:numId w:val="12"/>
      </w:numPr>
      <w:spacing w:before="120" w:after="0" w:line="240" w:lineRule="auto"/>
      <w:ind w:left="568"/>
    </w:pPr>
    <w:rPr>
      <w:rFonts w:ascii="Times New Roman" w:hAnsi="Times New Roman"/>
      <w:sz w:val="24"/>
    </w:rPr>
  </w:style>
  <w:style w:type="paragraph" w:customStyle="1" w:styleId="rendemening">
    <w:name w:val="Ärendemening"/>
    <w:semiHidden/>
    <w:rsid w:val="00894F1E"/>
    <w:pPr>
      <w:spacing w:before="360" w:after="0" w:line="240" w:lineRule="auto"/>
      <w:outlineLvl w:val="0"/>
    </w:pPr>
    <w:rPr>
      <w:rFonts w:ascii="Arial" w:hAnsi="Arial"/>
      <w:b/>
      <w:sz w:val="32"/>
    </w:rPr>
  </w:style>
  <w:style w:type="character" w:customStyle="1" w:styleId="Rubrik1Char">
    <w:name w:val="Rubrik 1 Char"/>
    <w:basedOn w:val="Standardstycketeckensnitt"/>
    <w:link w:val="Rubrik1"/>
    <w:uiPriority w:val="1"/>
    <w:rsid w:val="007E19DF"/>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2"/>
    <w:rsid w:val="007E19DF"/>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3"/>
    <w:rsid w:val="007E19DF"/>
    <w:rPr>
      <w:rFonts w:ascii="Arial" w:eastAsiaTheme="majorEastAsia" w:hAnsi="Arial" w:cstheme="majorBidi"/>
      <w:b/>
      <w:bCs/>
      <w:sz w:val="24"/>
    </w:rPr>
  </w:style>
  <w:style w:type="character" w:customStyle="1" w:styleId="Rubrik4Char">
    <w:name w:val="Rubrik 4 Char"/>
    <w:basedOn w:val="Standardstycketeckensnitt"/>
    <w:link w:val="Rubrik4"/>
    <w:uiPriority w:val="4"/>
    <w:rsid w:val="00E05DC4"/>
    <w:rPr>
      <w:rFonts w:ascii="Arial" w:eastAsiaTheme="majorEastAsia" w:hAnsi="Arial" w:cstheme="majorBidi"/>
      <w:b/>
      <w:bCs/>
      <w:iCs/>
      <w:sz w:val="20"/>
    </w:rPr>
  </w:style>
  <w:style w:type="paragraph" w:styleId="Sidhuvud">
    <w:name w:val="header"/>
    <w:basedOn w:val="Normal"/>
    <w:link w:val="SidhuvudChar"/>
    <w:uiPriority w:val="99"/>
    <w:unhideWhenUsed/>
    <w:rsid w:val="00894F1E"/>
    <w:pPr>
      <w:tabs>
        <w:tab w:val="center" w:pos="4536"/>
        <w:tab w:val="right" w:pos="9072"/>
      </w:tabs>
    </w:pPr>
  </w:style>
  <w:style w:type="character" w:customStyle="1" w:styleId="SidhuvudChar">
    <w:name w:val="Sidhuvud Char"/>
    <w:basedOn w:val="Standardstycketeckensnitt"/>
    <w:link w:val="Sidhuvud"/>
    <w:uiPriority w:val="99"/>
    <w:rsid w:val="00894F1E"/>
    <w:rPr>
      <w:rFonts w:ascii="Times New Roman" w:hAnsi="Times New Roman"/>
      <w:sz w:val="24"/>
    </w:rPr>
  </w:style>
  <w:style w:type="paragraph" w:styleId="Sidfot">
    <w:name w:val="footer"/>
    <w:basedOn w:val="Normal"/>
    <w:link w:val="SidfotChar"/>
    <w:uiPriority w:val="99"/>
    <w:unhideWhenUsed/>
    <w:rsid w:val="00894F1E"/>
    <w:pPr>
      <w:tabs>
        <w:tab w:val="center" w:pos="4536"/>
        <w:tab w:val="right" w:pos="9072"/>
      </w:tabs>
    </w:pPr>
  </w:style>
  <w:style w:type="character" w:customStyle="1" w:styleId="SidfotChar">
    <w:name w:val="Sidfot Char"/>
    <w:basedOn w:val="Standardstycketeckensnitt"/>
    <w:link w:val="Sidfot"/>
    <w:uiPriority w:val="99"/>
    <w:rsid w:val="00894F1E"/>
    <w:rPr>
      <w:rFonts w:ascii="Times New Roman" w:hAnsi="Times New Roman"/>
      <w:sz w:val="24"/>
    </w:rPr>
  </w:style>
  <w:style w:type="paragraph" w:styleId="Ballongtext">
    <w:name w:val="Balloon Text"/>
    <w:basedOn w:val="Normal"/>
    <w:link w:val="BallongtextChar"/>
    <w:uiPriority w:val="99"/>
    <w:semiHidden/>
    <w:unhideWhenUsed/>
    <w:rsid w:val="00894F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94F1E"/>
    <w:rPr>
      <w:rFonts w:ascii="Tahoma" w:hAnsi="Tahoma" w:cs="Tahoma"/>
      <w:sz w:val="16"/>
      <w:szCs w:val="16"/>
    </w:rPr>
  </w:style>
  <w:style w:type="table" w:styleId="Tabellrutnt">
    <w:name w:val="Table Grid"/>
    <w:basedOn w:val="Normaltabell"/>
    <w:uiPriority w:val="59"/>
    <w:rsid w:val="0089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94F1E"/>
    <w:rPr>
      <w:color w:val="808080"/>
    </w:rPr>
  </w:style>
  <w:style w:type="character" w:customStyle="1" w:styleId="Sidfotsinnehllmall">
    <w:name w:val="Sidfotsinnehåll mall"/>
    <w:basedOn w:val="Standardstycketeckensnitt"/>
    <w:uiPriority w:val="14"/>
    <w:rsid w:val="00684D96"/>
    <w:rPr>
      <w:rFonts w:ascii="Arial" w:hAnsi="Arial"/>
      <w:sz w:val="16"/>
    </w:rPr>
  </w:style>
  <w:style w:type="paragraph" w:styleId="Beskrivning">
    <w:name w:val="caption"/>
    <w:basedOn w:val="Normal"/>
    <w:next w:val="Normal"/>
    <w:uiPriority w:val="35"/>
    <w:semiHidden/>
    <w:unhideWhenUsed/>
    <w:qFormat/>
    <w:rsid w:val="003F6254"/>
    <w:rPr>
      <w:rFonts w:asciiTheme="minorHAnsi" w:hAnsiTheme="minorHAnsi"/>
      <w:b/>
      <w:bCs/>
      <w:i/>
      <w:sz w:val="18"/>
      <w:szCs w:val="18"/>
    </w:rPr>
  </w:style>
  <w:style w:type="paragraph" w:styleId="Liststycke">
    <w:name w:val="List Paragraph"/>
    <w:basedOn w:val="Normal"/>
    <w:uiPriority w:val="34"/>
    <w:qFormat/>
    <w:rsid w:val="00954052"/>
    <w:pPr>
      <w:spacing w:after="160" w:line="254" w:lineRule="auto"/>
      <w:ind w:left="720"/>
      <w:contextualSpacing/>
    </w:pPr>
    <w:rPr>
      <w:rFonts w:asciiTheme="minorHAnsi" w:hAnsiTheme="minorHAnsi"/>
      <w:sz w:val="22"/>
    </w:rPr>
  </w:style>
  <w:style w:type="character" w:customStyle="1" w:styleId="normaltextrun">
    <w:name w:val="normaltextrun"/>
    <w:basedOn w:val="Standardstycketeckensnitt"/>
    <w:rsid w:val="00954052"/>
  </w:style>
  <w:style w:type="character" w:styleId="Betoning">
    <w:name w:val="Emphasis"/>
    <w:basedOn w:val="Standardstycketeckensnitt"/>
    <w:uiPriority w:val="20"/>
    <w:qFormat/>
    <w:rsid w:val="009540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2278">
      <w:bodyDiv w:val="1"/>
      <w:marLeft w:val="0"/>
      <w:marRight w:val="0"/>
      <w:marTop w:val="0"/>
      <w:marBottom w:val="0"/>
      <w:divBdr>
        <w:top w:val="none" w:sz="0" w:space="0" w:color="auto"/>
        <w:left w:val="none" w:sz="0" w:space="0" w:color="auto"/>
        <w:bottom w:val="none" w:sz="0" w:space="0" w:color="auto"/>
        <w:right w:val="none" w:sz="0" w:space="0" w:color="auto"/>
      </w:divBdr>
    </w:div>
    <w:div w:id="19130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4825ABC0634B1BB190601DAA058302"/>
        <w:category>
          <w:name w:val="Allmänt"/>
          <w:gallery w:val="placeholder"/>
        </w:category>
        <w:types>
          <w:type w:val="bbPlcHdr"/>
        </w:types>
        <w:behaviors>
          <w:behavior w:val="content"/>
        </w:behaviors>
        <w:guid w:val="{C6E856EF-3A46-4C13-9349-A1FDE4E15297}"/>
      </w:docPartPr>
      <w:docPartBody>
        <w:p w:rsidR="004D1D54" w:rsidRDefault="00184FF1" w:rsidP="00184FF1">
          <w:pPr>
            <w:pStyle w:val="024825ABC0634B1BB190601DAA0583021"/>
          </w:pPr>
          <w:r w:rsidRPr="00650D91">
            <w:rPr>
              <w:rStyle w:val="Platshllartext"/>
              <w:lang w:val="en-US"/>
            </w:rPr>
            <w:t>Rubrik</w:t>
          </w:r>
        </w:p>
      </w:docPartBody>
    </w:docPart>
    <w:docPart>
      <w:docPartPr>
        <w:name w:val="EB2E0A2A6A624776B450AF428D05E216"/>
        <w:category>
          <w:name w:val="Allmänt"/>
          <w:gallery w:val="placeholder"/>
        </w:category>
        <w:types>
          <w:type w:val="bbPlcHdr"/>
        </w:types>
        <w:behaviors>
          <w:behavior w:val="content"/>
        </w:behaviors>
        <w:guid w:val="{08C5D82C-7377-4505-9310-7A52EEE11752}"/>
      </w:docPartPr>
      <w:docPartBody>
        <w:p w:rsidR="00310F8D" w:rsidRDefault="00184FF1" w:rsidP="00184FF1">
          <w:pPr>
            <w:pStyle w:val="EB2E0A2A6A624776B450AF428D05E216"/>
          </w:pPr>
          <w:r w:rsidRPr="00C63DBD">
            <w:rPr>
              <w:rStyle w:val="Platshllartext"/>
              <w:rFonts w:asciiTheme="minorBidi" w:hAnsiTheme="minorBidi"/>
              <w:sz w:val="20"/>
              <w:szCs w:val="20"/>
            </w:rPr>
            <w:t xml:space="preserve">  </w:t>
          </w:r>
        </w:p>
      </w:docPartBody>
    </w:docPart>
    <w:docPart>
      <w:docPartPr>
        <w:name w:val="C4F4B69D56944D69B9540BC28218BC3C"/>
        <w:category>
          <w:name w:val="Allmänt"/>
          <w:gallery w:val="placeholder"/>
        </w:category>
        <w:types>
          <w:type w:val="bbPlcHdr"/>
        </w:types>
        <w:behaviors>
          <w:behavior w:val="content"/>
        </w:behaviors>
        <w:guid w:val="{A87290EA-9B31-48FD-B0EE-9EB8E5D17DCB}"/>
      </w:docPartPr>
      <w:docPartBody>
        <w:p w:rsidR="00310F8D" w:rsidRDefault="00184FF1" w:rsidP="00184FF1">
          <w:pPr>
            <w:pStyle w:val="C4F4B69D56944D69B9540BC28218BC3C"/>
          </w:pPr>
          <w:r w:rsidRPr="00C63DBD">
            <w:rPr>
              <w:rStyle w:val="Platshllartext"/>
              <w:rFonts w:asciiTheme="minorBidi" w:hAnsiTheme="minorBidi"/>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8A"/>
    <w:rsid w:val="00184FF1"/>
    <w:rsid w:val="00310F8D"/>
    <w:rsid w:val="003B5EB6"/>
    <w:rsid w:val="0044708A"/>
    <w:rsid w:val="004D1D54"/>
    <w:rsid w:val="007A127C"/>
    <w:rsid w:val="009857A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4FF1"/>
    <w:rPr>
      <w:color w:val="808080"/>
    </w:rPr>
  </w:style>
  <w:style w:type="paragraph" w:customStyle="1" w:styleId="9D0CA56F5AE043C79E320CAAD9125AB4">
    <w:name w:val="9D0CA56F5AE043C79E320CAAD9125AB4"/>
    <w:rsid w:val="0044708A"/>
  </w:style>
  <w:style w:type="paragraph" w:customStyle="1" w:styleId="1FA6662AD6E9429D8909B3BEF2467467">
    <w:name w:val="1FA6662AD6E9429D8909B3BEF2467467"/>
    <w:rsid w:val="0044708A"/>
  </w:style>
  <w:style w:type="paragraph" w:customStyle="1" w:styleId="450D1B16E72746F8A412B87E296F0E3E">
    <w:name w:val="450D1B16E72746F8A412B87E296F0E3E"/>
    <w:rsid w:val="0044708A"/>
  </w:style>
  <w:style w:type="paragraph" w:customStyle="1" w:styleId="C7D9CBDA601B44ADA74BBFB9BC1C2604">
    <w:name w:val="C7D9CBDA601B44ADA74BBFB9BC1C2604"/>
    <w:rsid w:val="0044708A"/>
  </w:style>
  <w:style w:type="paragraph" w:customStyle="1" w:styleId="024825ABC0634B1BB190601DAA058302">
    <w:name w:val="024825ABC0634B1BB190601DAA058302"/>
    <w:rsid w:val="007A127C"/>
  </w:style>
  <w:style w:type="paragraph" w:customStyle="1" w:styleId="024825ABC0634B1BB190601DAA0583021">
    <w:name w:val="024825ABC0634B1BB190601DAA0583021"/>
    <w:rsid w:val="00184FF1"/>
    <w:pPr>
      <w:keepNext/>
      <w:keepLines/>
      <w:spacing w:before="360" w:after="0" w:line="240" w:lineRule="auto"/>
      <w:outlineLvl w:val="0"/>
    </w:pPr>
    <w:rPr>
      <w:rFonts w:ascii="Arial" w:eastAsiaTheme="majorEastAsia" w:hAnsi="Arial" w:cstheme="majorBidi"/>
      <w:b/>
      <w:bCs/>
      <w:sz w:val="32"/>
      <w:szCs w:val="28"/>
      <w:lang w:eastAsia="en-US"/>
    </w:rPr>
  </w:style>
  <w:style w:type="paragraph" w:customStyle="1" w:styleId="EB2E0A2A6A624776B450AF428D05E216">
    <w:name w:val="EB2E0A2A6A624776B450AF428D05E216"/>
    <w:rsid w:val="00184FF1"/>
    <w:pPr>
      <w:spacing w:line="240" w:lineRule="auto"/>
    </w:pPr>
    <w:rPr>
      <w:rFonts w:ascii="Times New Roman" w:eastAsiaTheme="minorHAnsi" w:hAnsi="Times New Roman"/>
      <w:sz w:val="24"/>
      <w:lang w:eastAsia="en-US"/>
    </w:rPr>
  </w:style>
  <w:style w:type="paragraph" w:customStyle="1" w:styleId="8DBBF4ECC69C45EF93C061CDD7C6A072">
    <w:name w:val="8DBBF4ECC69C45EF93C061CDD7C6A072"/>
    <w:rsid w:val="00184FF1"/>
    <w:pPr>
      <w:spacing w:line="240" w:lineRule="auto"/>
    </w:pPr>
    <w:rPr>
      <w:rFonts w:ascii="Times New Roman" w:eastAsiaTheme="minorHAnsi" w:hAnsi="Times New Roman"/>
      <w:sz w:val="24"/>
      <w:lang w:eastAsia="en-US"/>
    </w:rPr>
  </w:style>
  <w:style w:type="paragraph" w:customStyle="1" w:styleId="8AA4D35B65A948D08CC88351BBE0AB85">
    <w:name w:val="8AA4D35B65A948D08CC88351BBE0AB85"/>
    <w:rsid w:val="00184FF1"/>
    <w:pPr>
      <w:spacing w:line="240" w:lineRule="auto"/>
    </w:pPr>
    <w:rPr>
      <w:rFonts w:ascii="Times New Roman" w:eastAsiaTheme="minorHAnsi" w:hAnsi="Times New Roman"/>
      <w:sz w:val="24"/>
      <w:lang w:eastAsia="en-US"/>
    </w:rPr>
  </w:style>
  <w:style w:type="paragraph" w:customStyle="1" w:styleId="9911EF5E38A4457394DD7ACE1048393E">
    <w:name w:val="9911EF5E38A4457394DD7ACE1048393E"/>
    <w:rsid w:val="00184FF1"/>
    <w:pPr>
      <w:spacing w:line="240" w:lineRule="auto"/>
    </w:pPr>
    <w:rPr>
      <w:rFonts w:ascii="Times New Roman" w:eastAsiaTheme="minorHAnsi" w:hAnsi="Times New Roman"/>
      <w:sz w:val="24"/>
      <w:lang w:eastAsia="en-US"/>
    </w:rPr>
  </w:style>
  <w:style w:type="paragraph" w:customStyle="1" w:styleId="5B4FC07307114CA98A677A07AC73CFA1">
    <w:name w:val="5B4FC07307114CA98A677A07AC73CFA1"/>
    <w:rsid w:val="00184FF1"/>
    <w:pPr>
      <w:spacing w:line="240" w:lineRule="auto"/>
    </w:pPr>
    <w:rPr>
      <w:rFonts w:ascii="Times New Roman" w:eastAsiaTheme="minorHAnsi" w:hAnsi="Times New Roman"/>
      <w:sz w:val="24"/>
      <w:lang w:eastAsia="en-US"/>
    </w:rPr>
  </w:style>
  <w:style w:type="paragraph" w:customStyle="1" w:styleId="75456E7BFEF04DFFB94A0E9F0464EBC7">
    <w:name w:val="75456E7BFEF04DFFB94A0E9F0464EBC7"/>
    <w:rsid w:val="00184FF1"/>
    <w:pPr>
      <w:spacing w:line="240" w:lineRule="auto"/>
    </w:pPr>
    <w:rPr>
      <w:rFonts w:ascii="Times New Roman" w:eastAsiaTheme="minorHAnsi" w:hAnsi="Times New Roman"/>
      <w:sz w:val="24"/>
      <w:lang w:eastAsia="en-US"/>
    </w:rPr>
  </w:style>
  <w:style w:type="paragraph" w:customStyle="1" w:styleId="27AB6EF3FED34B54BDD903F03053F120">
    <w:name w:val="27AB6EF3FED34B54BDD903F03053F120"/>
    <w:rsid w:val="00184FF1"/>
    <w:pPr>
      <w:spacing w:line="240" w:lineRule="auto"/>
    </w:pPr>
    <w:rPr>
      <w:rFonts w:ascii="Times New Roman" w:eastAsiaTheme="minorHAnsi" w:hAnsi="Times New Roman"/>
      <w:sz w:val="24"/>
      <w:lang w:eastAsia="en-US"/>
    </w:rPr>
  </w:style>
  <w:style w:type="paragraph" w:customStyle="1" w:styleId="C4F4B69D56944D69B9540BC28218BC3C">
    <w:name w:val="C4F4B69D56944D69B9540BC28218BC3C"/>
    <w:rsid w:val="00184FF1"/>
    <w:pPr>
      <w:spacing w:line="240" w:lineRule="auto"/>
    </w:pPr>
    <w:rPr>
      <w:rFonts w:ascii="Times New Roman" w:eastAsiaTheme="minorHAnsi" w:hAnsi="Times New Roman"/>
      <w:sz w:val="24"/>
      <w:lang w:eastAsia="en-US"/>
    </w:rPr>
  </w:style>
  <w:style w:type="paragraph" w:customStyle="1" w:styleId="DA2C967DDC7941BBAF22ABA3F122E567">
    <w:name w:val="DA2C967DDC7941BBAF22ABA3F122E567"/>
    <w:rsid w:val="00184FF1"/>
    <w:pPr>
      <w:spacing w:line="240" w:lineRule="auto"/>
    </w:pPr>
    <w:rPr>
      <w:rFonts w:ascii="Times New Roman" w:eastAsiaTheme="minorHAnsi" w:hAnsi="Times New Roman"/>
      <w:sz w:val="24"/>
      <w:lang w:eastAsia="en-US"/>
    </w:rPr>
  </w:style>
  <w:style w:type="paragraph" w:customStyle="1" w:styleId="EC29745175B54D1EAC9A8D86E2F094FD">
    <w:name w:val="EC29745175B54D1EAC9A8D86E2F094FD"/>
    <w:rsid w:val="00184FF1"/>
    <w:pPr>
      <w:spacing w:line="240" w:lineRule="auto"/>
    </w:pPr>
    <w:rPr>
      <w:rFonts w:ascii="Times New Roman" w:eastAsiaTheme="minorHAnsi" w:hAnsi="Times New Roman"/>
      <w:sz w:val="24"/>
      <w:lang w:eastAsia="en-US"/>
    </w:rPr>
  </w:style>
  <w:style w:type="paragraph" w:customStyle="1" w:styleId="FEE41A22337042C9ACC69E59745A63A8">
    <w:name w:val="FEE41A22337042C9ACC69E59745A63A8"/>
    <w:rsid w:val="00184FF1"/>
    <w:pPr>
      <w:spacing w:line="240" w:lineRule="auto"/>
    </w:pPr>
    <w:rPr>
      <w:rFonts w:ascii="Times New Roman" w:eastAsiaTheme="minorHAnsi" w:hAnsi="Times New Roman"/>
      <w:sz w:val="24"/>
      <w:lang w:eastAsia="en-US"/>
    </w:rPr>
  </w:style>
  <w:style w:type="paragraph" w:customStyle="1" w:styleId="4F908D82D0BC4D61AE0D382A8DAFD296">
    <w:name w:val="4F908D82D0BC4D61AE0D382A8DAFD296"/>
    <w:rsid w:val="00184FF1"/>
    <w:pPr>
      <w:spacing w:line="240" w:lineRule="auto"/>
    </w:pPr>
    <w:rPr>
      <w:rFonts w:ascii="Times New Roman" w:eastAsiaTheme="minorHAnsi" w:hAnsi="Times New Roman"/>
      <w:sz w:val="24"/>
      <w:lang w:eastAsia="en-US"/>
    </w:rPr>
  </w:style>
  <w:style w:type="paragraph" w:customStyle="1" w:styleId="ED3E4A16F8B9457BA5BB2657D67E31B7">
    <w:name w:val="ED3E4A16F8B9457BA5BB2657D67E31B7"/>
    <w:rsid w:val="00184FF1"/>
    <w:pPr>
      <w:spacing w:line="240" w:lineRule="auto"/>
    </w:pPr>
    <w:rPr>
      <w:rFonts w:ascii="Times New Roman" w:eastAsiaTheme="minorHAnsi" w:hAnsi="Times New Roman"/>
      <w:sz w:val="24"/>
      <w:lang w:eastAsia="en-US"/>
    </w:rPr>
  </w:style>
  <w:style w:type="paragraph" w:customStyle="1" w:styleId="21AFCEF5D1134B04A1D5C34FCAB8641A">
    <w:name w:val="21AFCEF5D1134B04A1D5C34FCAB8641A"/>
    <w:rsid w:val="00184FF1"/>
    <w:pPr>
      <w:spacing w:line="240" w:lineRule="auto"/>
    </w:pPr>
    <w:rPr>
      <w:rFonts w:ascii="Times New Roman" w:eastAsiaTheme="minorHAnsi" w:hAnsi="Times New Roman"/>
      <w:sz w:val="24"/>
      <w:lang w:eastAsia="en-US"/>
    </w:rPr>
  </w:style>
  <w:style w:type="paragraph" w:customStyle="1" w:styleId="401AD2FD7FE440BD83A34E2BDC9F9A8F">
    <w:name w:val="401AD2FD7FE440BD83A34E2BDC9F9A8F"/>
    <w:rsid w:val="00184FF1"/>
    <w:pPr>
      <w:spacing w:line="240" w:lineRule="auto"/>
    </w:pPr>
    <w:rPr>
      <w:rFonts w:ascii="Times New Roman" w:eastAsiaTheme="minorHAnsi" w:hAnsi="Times New Roman"/>
      <w:sz w:val="24"/>
      <w:lang w:eastAsia="en-US"/>
    </w:rPr>
  </w:style>
  <w:style w:type="paragraph" w:customStyle="1" w:styleId="45347A1DB90A4D718D538AE81526D52A">
    <w:name w:val="45347A1DB90A4D718D538AE81526D52A"/>
    <w:rsid w:val="00184FF1"/>
    <w:pPr>
      <w:spacing w:line="240"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InternalDocument>
  <Administration/>
  <Responsible.Address.Email>caroline.wiklund@rjl.se</Responsible.Address.Email>
  <Responsible.FullName>Caroline Wiklund</Responsible.FullName>
  <Responsible.Signature>wanca1</Responsible.Signature>
  <Responsible.Posistion>Klinisk apotekare</Responsible.Posistion>
  <Responsible.Address.Phone.Default>+46725010664</Responsible.Address.Phone.Default>
  <SubOffice/>
  <Department.Name/>
  <Description>Nationell läkemedelslista: åtkomst, samtycken och spärrar</Description>
  <Department.Address.Street/>
  <Department.Address.Email/>
  <DepartmentPostalAddress> </DepartmentPostalAddress>
  <Department.Address.Phone.Default/>
  <Department/>
  <ApprovedDate/>
  <ApproveEndDate/>
  <ApproveStartDate/>
  <DocumentTypeName>INFORMATION</DocumentTypeName>
  <Office/>
  <Office.Description/>
  <Office.Name/>
  <OfficePostalAddress> </OfficePostalAddress>
  <Contact.Address.Street/>
  <Contact.Address.Email/>
  <Contact.ContactPerson/>
  <Contact.Name/>
  <Contact.Address.Region/>
  <Contact.Address.ZipCode/>
  <Contact.Address.Phone.Work/>
  <Contact.Address.Phone.Home/>
  <Contact.Address.Phone.Mobile/>
  <OrgUnit/>
  <Secrecy/>
  <TradeArea/>
  <SubOffice.Description/>
  <SubOffice.Name/>
  <SubOfficePostalAddress> </SubOfficePostalAddress>
  <VersionNumber>0.2</VersionNumber>
</Global_Internal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E110A-0788-4EED-98DF-3E653F1D8601}">
  <ds:schemaRefs/>
</ds:datastoreItem>
</file>

<file path=customXml/itemProps2.xml><?xml version="1.0" encoding="utf-8"?>
<ds:datastoreItem xmlns:ds="http://schemas.openxmlformats.org/officeDocument/2006/customXml" ds:itemID="{86B036D7-49C4-4460-B449-EBFB12D7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1072</Words>
  <Characters>5684</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Wiklund Caroline</cp:lastModifiedBy>
  <cp:revision>6</cp:revision>
  <cp:lastPrinted>2016-12-14T07:29:00Z</cp:lastPrinted>
  <dcterms:created xsi:type="dcterms:W3CDTF">2019-08-27T09:07:00Z</dcterms:created>
  <dcterms:modified xsi:type="dcterms:W3CDTF">2024-05-02T13:51:00Z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Global_InternalDocument</vt:lpwstr>
  </property>
  <property fmtid="{D5CDD505-2E9C-101B-9397-08002B2CF9AE}" pid="3" name="ResxId">
    <vt:lpwstr>INFORMERANDE RJL</vt:lpwstr>
  </property>
  <property fmtid="{D5CDD505-2E9C-101B-9397-08002B2CF9AE}" pid="4" name="DocumentId">
    <vt:lpwstr>d9c3bd2c-9abf-4f08-a71a-1566b1dabbdb</vt:lpwstr>
  </property>
</Properties>
</file>