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Style w:val="Rubrik1Char"/>
          <w:b/>
          <w:bCs/>
        </w:rPr>
        <w:alias w:val="Ärendemening"/>
        <w:tag w:val="Beskrivning"/>
        <w:id w:val="-1694606521"/>
        <w:lock w:val="sdtLocked"/>
        <w:placeholder>
          <w:docPart w:val="024825ABC0634B1BB190601DAA058302"/>
        </w:placeholder>
        <w:dataBinding w:xpath="/Global_InternalDocument[1]/Description[1]" w:storeItemID="{F3FE110A-0788-4EED-98DF-3E653F1D8601}"/>
        <w:text w:multiLine="1"/>
      </w:sdtPr>
      <w:sdtEndPr>
        <w:rPr>
          <w:rStyle w:val="DefaultParagraphFont"/>
        </w:rPr>
      </w:sdtEnd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Style w:val="Rubrik1Char"/>
              <w:b/>
              <w:bCs/>
            </w:rPr>
            <w:t>Syrgasbehandling i hemmet - information</w:t>
          </w:r>
        </w:p>
      </w:sdtContent>
    </w:sdt>
    <w:p w:rsidR="00432E29" w:rsidP="00432E29">
      <w:pPr>
        <w:pStyle w:val="Heading2"/>
      </w:pPr>
      <w:r>
        <w:t xml:space="preserve">Inledning </w:t>
      </w:r>
    </w:p>
    <w:p w:rsidR="00432E29" w:rsidP="00E77486">
      <w:r>
        <w:t xml:space="preserve">Denna information vänder sig till dig med kronisk lungsvikt som behöver, eller har behandling med syrgas i hemmet. </w:t>
      </w:r>
    </w:p>
    <w:p w:rsidR="00432E29" w:rsidP="00432E29">
      <w:r>
        <w:t xml:space="preserve">Syrgas för medicinskt bruk är ett läkemedel. </w:t>
      </w:r>
    </w:p>
    <w:p w:rsidR="00432E29" w:rsidP="00E77486">
      <w:r>
        <w:t xml:space="preserve">Syrgasbehandling kräver goda kunskaper och en välfungerande organisation. När behandlingen väl kommit igång så fungerar den oftast utan större problem. Den medför ofta en långvarig kontakt med syrgassköterskor och lungläkare. </w:t>
      </w:r>
    </w:p>
    <w:p w:rsidR="00432E29" w:rsidP="00432E29">
      <w:pPr>
        <w:pStyle w:val="Heading2"/>
      </w:pPr>
      <w:r>
        <w:t>Lungsvikt</w:t>
      </w:r>
    </w:p>
    <w:p w:rsidR="00432E29" w:rsidP="00432E29">
      <w:r>
        <w:t>Lungsvikt innebär o</w:t>
      </w:r>
      <w:r>
        <w:t xml:space="preserve">förmåga att upprätthålla normal nivå av syre (O2) i blodet, ibland förenat med förhöjd halt av koldioxid (CO2). </w:t>
      </w:r>
    </w:p>
    <w:p w:rsidR="00432E29" w:rsidP="00432E29">
      <w:r>
        <w:t>Akut och övergående lungsvikt kan orsakas av t.ex. lunginflammation eller hjärtsvikt. Kronisk andningssvikt beror ofta på svår och långvarig lu</w:t>
      </w:r>
      <w:r>
        <w:t xml:space="preserve">ngsjukdom. </w:t>
      </w:r>
    </w:p>
    <w:p w:rsidR="00432E29" w:rsidP="00432E29">
      <w:r>
        <w:t xml:space="preserve">Syrebristen kan ha skadlig inverkan på kroppens organ och kan påverka livslängden, framförallt om den är obehandlad. </w:t>
      </w:r>
    </w:p>
    <w:p w:rsidR="00432E29" w:rsidP="00432E29">
      <w:pPr>
        <w:pStyle w:val="Heading2"/>
      </w:pPr>
      <w:r>
        <w:t>Syrgas i hemmet</w:t>
      </w:r>
    </w:p>
    <w:p w:rsidR="00432E29" w:rsidP="00432E29">
      <w:r>
        <w:t xml:space="preserve">Behandling med syrgas (oxygen) i hemmet ges vid svår kronisk syrebrist vid lungsvikt. </w:t>
      </w:r>
    </w:p>
    <w:p w:rsidR="00432E29" w:rsidP="00432E29">
      <w:r>
        <w:t xml:space="preserve">Den vanligaste orsaken </w:t>
      </w:r>
      <w:r>
        <w:t xml:space="preserve">till kronisk lungsvikt är kroniskt obstruktiv lungsjukdom (KOL), oftast orsakad av tobaksrökning. Andra orsaker är bland annat lungfibros (ärrbildning i lungorna) och sjukdomar i lungornas blodkärl (pulmonell hypertension). </w:t>
      </w:r>
    </w:p>
    <w:p w:rsidR="00432E29" w:rsidP="00432E29">
      <w:r>
        <w:t>Syftet med syrgas är att förlän</w:t>
      </w:r>
      <w:r>
        <w:t>ga livet vid KOL, men också att förbättra livskvaliteten och symptomlindra. De två sistnämnda har en väldigt svag evidens och måste utvärderas innan syrgas installeras i patientens hem.</w:t>
      </w:r>
    </w:p>
    <w:p w:rsidR="00432E29" w:rsidP="00432E29">
      <w:r>
        <w:t xml:space="preserve">Hinder för syrgasbehandling i hemmet är fortsatt rökning eller demens </w:t>
      </w:r>
      <w:r>
        <w:t>av olika grad och att på ett säkert sätt genomföra behandlingen, därför är behovet av plats på boende viktigt.</w:t>
      </w:r>
    </w:p>
    <w:p w:rsidR="00432E29" w:rsidP="00432E29">
      <w:pPr>
        <w:pStyle w:val="Heading3"/>
      </w:pPr>
      <w:r>
        <w:t xml:space="preserve">Vilken nytta gör syrgasbehandling i hemmet? </w:t>
      </w:r>
    </w:p>
    <w:p w:rsidR="00432E29" w:rsidP="00432E29">
      <w:r>
        <w:t>Syrgas förbättrar blodets syrehalt och därmed de inre organens syresättning. Belastningen på hjärtat</w:t>
      </w:r>
      <w:r>
        <w:t xml:space="preserve"> minskar, och överlevnaden kan förbättras. Andfåddhet vid ansträngning kvarstår oftast, men förbättringar kan ses av intellektuella (kognitiva) funktioner och allmän trötthet. </w:t>
      </w:r>
    </w:p>
    <w:p w:rsidR="00432E29" w:rsidP="00432E29">
      <w:pPr>
        <w:pStyle w:val="Heading3"/>
      </w:pPr>
      <w:r>
        <w:t xml:space="preserve">Hur går behandlingen till? </w:t>
      </w:r>
    </w:p>
    <w:p w:rsidR="00432E29" w:rsidP="00432E29">
      <w:r>
        <w:t>Syrgas tillförs via näsan, vanligen genom en så kal</w:t>
      </w:r>
      <w:r>
        <w:t xml:space="preserve">lad grimma. Ett noga utprovat syrgasflöde är viktigt, särskilt om du har tendens att utveckla ansamling av koldioxid i blodet vid för högt syrgasflöde. </w:t>
      </w:r>
    </w:p>
    <w:p w:rsidR="00432E29" w:rsidP="00432E29">
      <w:pPr>
        <w:pStyle w:val="Heading3"/>
      </w:pPr>
      <w:r>
        <w:t xml:space="preserve">Syrgaskoncentrator </w:t>
      </w:r>
    </w:p>
    <w:p w:rsidR="00432E29" w:rsidP="00432E29">
      <w:r>
        <w:t>Är den dominerande behandlingsformen. Koncentratorn är en elektrisk apparat som anr</w:t>
      </w:r>
      <w:r>
        <w:t xml:space="preserve">ikar (koncentrerar) syret från den omgivande luften. Den finns som stationär apparat till hemmet och som bärbar vid vistelse utanför hemmet. </w:t>
      </w:r>
    </w:p>
    <w:p w:rsidR="00432E29" w:rsidP="00432E29">
      <w:pPr>
        <w:pStyle w:val="Heading3"/>
      </w:pPr>
      <w:r>
        <w:t xml:space="preserve">Gasflaskor </w:t>
      </w:r>
    </w:p>
    <w:p w:rsidR="00432E29" w:rsidP="00432E29">
      <w:r>
        <w:t xml:space="preserve">Är ett alternativ till bärbar koncentrator. Det finns lättviktsflaskor som är enkla att sköta och kan </w:t>
      </w:r>
      <w:r>
        <w:t xml:space="preserve">förses med så kallad besparare - en ventil som ger syrgas endast vid inandning och som minskar syrgasförbrukningen. </w:t>
      </w:r>
    </w:p>
    <w:p w:rsidR="00432E29" w:rsidP="00432E29">
      <w:pPr>
        <w:pStyle w:val="Heading3"/>
      </w:pPr>
      <w:r>
        <w:t xml:space="preserve">Vem sköter behandlingen? </w:t>
      </w:r>
    </w:p>
    <w:p w:rsidR="00432E29" w:rsidP="00432E29">
      <w:r>
        <w:t>Lungläkaren är ansvarig för syrgasbehandling i hemmet. Läkaren fattar beslut om start av behandling och läkaren e</w:t>
      </w:r>
      <w:r>
        <w:t xml:space="preserve">ller syrgassköterskan ansvarar för de löpande kontrollerna. </w:t>
      </w:r>
    </w:p>
    <w:p w:rsidR="00432E29" w:rsidP="00432E29">
      <w:r>
        <w:t>Syrgassköterskan ger detaljerad information vid start av behandlingen och är fortsättningsvis lättillgänglig kontaktperson för patient och anhöriga. Du kommer att göra regelbundna kontroller på L</w:t>
      </w:r>
      <w:r>
        <w:t xml:space="preserve">ungmottagningen hos din syrgassköterska. </w:t>
      </w:r>
    </w:p>
    <w:p w:rsidR="00432E29" w:rsidP="00432E29">
      <w:r>
        <w:t xml:space="preserve">Teknikerna vid den medicintekniska avdelningen ser över och underhåller utrustningen enligt särskilt schema. </w:t>
      </w:r>
    </w:p>
    <w:p w:rsidR="00432E29" w:rsidP="00432E29">
      <w:pPr>
        <w:pStyle w:val="Heading3"/>
      </w:pPr>
      <w:r>
        <w:t xml:space="preserve">Finns det risker med behandlingen? </w:t>
      </w:r>
    </w:p>
    <w:p w:rsidR="00432E29" w:rsidP="00432E29">
      <w:r>
        <w:t xml:space="preserve">Vid syrgasbehandling ansamlas syret i textilier, hår och skägg. </w:t>
      </w:r>
    </w:p>
    <w:p w:rsidR="00432E29" w:rsidP="00432E29">
      <w:pPr>
        <w:pStyle w:val="Heading4"/>
      </w:pPr>
      <w:r>
        <w:t>Öppen eld</w:t>
      </w:r>
    </w:p>
    <w:p w:rsidR="00432E29" w:rsidP="00432E29">
      <w:r>
        <w:t>Får inte förekomma i närheten av syrgasbehandling. Syrgas påskyndar och underhåller förbränning. Vid höga halter av syrgas är brandförloppet explosionsartat. Vid behandling med gasflaskor i hemmet ska en varningsskylt placeras på nederdelen av yt</w:t>
      </w:r>
      <w:r>
        <w:t xml:space="preserve">terdörrens insida. </w:t>
      </w:r>
    </w:p>
    <w:p w:rsidR="00432E29" w:rsidP="00432E29">
      <w:pPr>
        <w:pStyle w:val="Heading4"/>
      </w:pPr>
      <w:r>
        <w:t>Rökning</w:t>
      </w:r>
    </w:p>
    <w:p w:rsidR="00432E29" w:rsidP="00432E29">
      <w:r>
        <w:t xml:space="preserve">Rökfrihet är en förutsättning för att ha syrgas hemma. Ingen får röka i hem där syrgasbehandling förekommer. </w:t>
      </w:r>
    </w:p>
    <w:p w:rsidR="0069101B" w:rsidRPr="00AA2F58" w:rsidP="008D1C33">
      <w:pPr>
        <w:spacing w:line="276" w:lineRule="auto"/>
      </w:pPr>
    </w:p>
    <w:sectPr w:rsidSect="006046C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RPr="0052086D" w:rsidP="0052086D">
    <w:pPr>
      <w:pStyle w:val="Footer"/>
      <w:spacing w:line="20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1" w:name="BMPageNum" w:colFirst="2" w:colLast="2"/>
          <w:bookmarkStart w:id="2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-1669404920"/>
          <w:placeholder>
            <w:docPart w:val="EB2E0A2A6A624776B450AF428D05E216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1"/>
    <w:bookmarkEnd w:id="2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HandlingstypNamn"/>
          <w:id w:val="1187484524"/>
          <w:placeholder>
            <w:docPart w:val="C4F4B69D56944D69B9540BC28218BC3C"/>
          </w:placeholder>
          <w:dataBinding w:xpath="/Global_InternalDocument[1]/DocumentTypeName[1]" w:storeItemID="{F3FE110A-0788-4EED-98DF-3E653F1D8601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INFORMATION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E77486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52092"/>
    <w:rsid w:val="000B7E67"/>
    <w:rsid w:val="000C3B06"/>
    <w:rsid w:val="000C7AD1"/>
    <w:rsid w:val="00183B97"/>
    <w:rsid w:val="00184FF1"/>
    <w:rsid w:val="00185CC3"/>
    <w:rsid w:val="001A4E94"/>
    <w:rsid w:val="001E5719"/>
    <w:rsid w:val="00240E69"/>
    <w:rsid w:val="002565CD"/>
    <w:rsid w:val="002A2E7C"/>
    <w:rsid w:val="002B34D0"/>
    <w:rsid w:val="00310F8D"/>
    <w:rsid w:val="00365651"/>
    <w:rsid w:val="003834A5"/>
    <w:rsid w:val="0039470F"/>
    <w:rsid w:val="003C4CCA"/>
    <w:rsid w:val="003E06C1"/>
    <w:rsid w:val="003F6254"/>
    <w:rsid w:val="003F7652"/>
    <w:rsid w:val="0040333C"/>
    <w:rsid w:val="00410A33"/>
    <w:rsid w:val="00432E29"/>
    <w:rsid w:val="004D1D54"/>
    <w:rsid w:val="00514936"/>
    <w:rsid w:val="0052086D"/>
    <w:rsid w:val="00547511"/>
    <w:rsid w:val="00547EAF"/>
    <w:rsid w:val="005A5604"/>
    <w:rsid w:val="006046C3"/>
    <w:rsid w:val="006066F2"/>
    <w:rsid w:val="006329D0"/>
    <w:rsid w:val="00650D91"/>
    <w:rsid w:val="00657A97"/>
    <w:rsid w:val="00684D96"/>
    <w:rsid w:val="0069101B"/>
    <w:rsid w:val="006A2CE5"/>
    <w:rsid w:val="006A4239"/>
    <w:rsid w:val="007043CC"/>
    <w:rsid w:val="00783488"/>
    <w:rsid w:val="007E19DF"/>
    <w:rsid w:val="00894F1E"/>
    <w:rsid w:val="008C0665"/>
    <w:rsid w:val="008D1C33"/>
    <w:rsid w:val="00966873"/>
    <w:rsid w:val="00A028D5"/>
    <w:rsid w:val="00A573F7"/>
    <w:rsid w:val="00AA2F58"/>
    <w:rsid w:val="00AF5DD1"/>
    <w:rsid w:val="00BF72BF"/>
    <w:rsid w:val="00C03042"/>
    <w:rsid w:val="00C13950"/>
    <w:rsid w:val="00C2776E"/>
    <w:rsid w:val="00C63DBD"/>
    <w:rsid w:val="00C95866"/>
    <w:rsid w:val="00CC0126"/>
    <w:rsid w:val="00D314E6"/>
    <w:rsid w:val="00DC3FB7"/>
    <w:rsid w:val="00E035DD"/>
    <w:rsid w:val="00E05DC4"/>
    <w:rsid w:val="00E23A26"/>
    <w:rsid w:val="00E42CC8"/>
    <w:rsid w:val="00E7096D"/>
    <w:rsid w:val="00E77486"/>
    <w:rsid w:val="00EB7A74"/>
    <w:rsid w:val="00EF1F22"/>
    <w:rsid w:val="00F058C1"/>
    <w:rsid w:val="00F24B8D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7E0AA4F-FE38-4DDC-B6B9-21B811F5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semiHidden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184FF1">
          <w:pPr>
            <w:pStyle w:val="024825ABC0634B1BB190601DAA0583021"/>
          </w:pPr>
          <w:r w:rsidRPr="00650D91">
            <w:rPr>
              <w:rStyle w:val="PlaceholderText"/>
              <w:lang w:val="en-US"/>
            </w:rPr>
            <w:t>Rubrik</w:t>
          </w:r>
        </w:p>
      </w:docPartBody>
    </w:docPart>
    <w:docPart>
      <w:docPartPr>
        <w:name w:val="EB2E0A2A6A624776B450AF428D05E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C5D82C-7377-4505-9310-7A52EEE11752}"/>
      </w:docPartPr>
      <w:docPartBody>
        <w:p w:rsidR="00310F8D" w:rsidP="00184FF1">
          <w:pPr>
            <w:pStyle w:val="EB2E0A2A6A624776B450AF428D05E216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  <w:docPart>
      <w:docPartPr>
        <w:name w:val="C4F4B69D56944D69B9540BC28218BC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7290EA-9B31-48FD-B0EE-9EB8E5D17DCB}"/>
      </w:docPartPr>
      <w:docPartBody>
        <w:p w:rsidR="00310F8D" w:rsidP="00184FF1">
          <w:pPr>
            <w:pStyle w:val="C4F4B69D56944D69B9540BC28218BC3C"/>
          </w:pPr>
          <w:r w:rsidRPr="00C63DBD">
            <w:rPr>
              <w:rStyle w:val="PlaceholderText"/>
              <w:rFonts w:asciiTheme="minorBidi" w:hAnsiTheme="minorBidi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0068B4"/>
    <w:rsid w:val="00031D19"/>
    <w:rsid w:val="00184FF1"/>
    <w:rsid w:val="00310F8D"/>
    <w:rsid w:val="003B5EB6"/>
    <w:rsid w:val="0044708A"/>
    <w:rsid w:val="004D1D54"/>
    <w:rsid w:val="005D5E9D"/>
    <w:rsid w:val="007A127C"/>
    <w:rsid w:val="008D41E4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1D19"/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024825ABC0634B1BB190601DAA0583021">
    <w:name w:val="024825ABC0634B1BB190601DAA0583021"/>
    <w:rsid w:val="00184FF1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  <w:lang w:eastAsia="en-US"/>
    </w:rPr>
  </w:style>
  <w:style w:type="paragraph" w:customStyle="1" w:styleId="EB2E0A2A6A624776B450AF428D05E216">
    <w:name w:val="EB2E0A2A6A624776B450AF428D05E21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DBBF4ECC69C45EF93C061CDD7C6A072">
    <w:name w:val="8DBBF4ECC69C45EF93C061CDD7C6A072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8AA4D35B65A948D08CC88351BBE0AB85">
    <w:name w:val="8AA4D35B65A948D08CC88351BBE0AB85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9911EF5E38A4457394DD7ACE1048393E">
    <w:name w:val="9911EF5E38A4457394DD7ACE1048393E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5B4FC07307114CA98A677A07AC73CFA1">
    <w:name w:val="5B4FC07307114CA98A677A07AC73CFA1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75456E7BFEF04DFFB94A0E9F0464EBC7">
    <w:name w:val="75456E7BFEF04DFFB94A0E9F0464EBC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AB6EF3FED34B54BDD903F03053F120">
    <w:name w:val="27AB6EF3FED34B54BDD903F03053F120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C4F4B69D56944D69B9540BC28218BC3C">
    <w:name w:val="C4F4B69D56944D69B9540BC28218BC3C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DA2C967DDC7941BBAF22ABA3F122E567">
    <w:name w:val="DA2C967DDC7941BBAF22ABA3F122E56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C29745175B54D1EAC9A8D86E2F094FD">
    <w:name w:val="EC29745175B54D1EAC9A8D86E2F094FD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FEE41A22337042C9ACC69E59745A63A8">
    <w:name w:val="FEE41A22337042C9ACC69E59745A63A8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F908D82D0BC4D61AE0D382A8DAFD296">
    <w:name w:val="4F908D82D0BC4D61AE0D382A8DAFD296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ED3E4A16F8B9457BA5BB2657D67E31B7">
    <w:name w:val="ED3E4A16F8B9457BA5BB2657D67E31B7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1AFCEF5D1134B04A1D5C34FCAB8641A">
    <w:name w:val="21AFCEF5D1134B04A1D5C34FCAB8641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01AD2FD7FE440BD83A34E2BDC9F9A8F">
    <w:name w:val="401AD2FD7FE440BD83A34E2BDC9F9A8F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45347A1DB90A4D718D538AE81526D52A">
    <w:name w:val="45347A1DB90A4D718D538AE81526D52A"/>
    <w:rsid w:val="00184FF1"/>
    <w:pPr>
      <w:spacing w:line="240" w:lineRule="auto"/>
    </w:pPr>
    <w:rPr>
      <w:rFonts w:ascii="Times New Roman" w:hAnsi="Times New Roman" w:eastAsiaTheme="minorHAnsi"/>
      <w:sz w:val="24"/>
      <w:lang w:eastAsia="en-US"/>
    </w:rPr>
  </w:style>
  <w:style w:type="paragraph" w:customStyle="1" w:styleId="27FD26AB8AF542F3BB752F0CDC65D082">
    <w:name w:val="27FD26AB8AF542F3BB752F0CDC65D082"/>
    <w:rsid w:val="00031D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InternalDocument>
  <Administration/>
  <Responsible.Address.Email>sarah.lord@rjl.se</Responsible.Address.Email>
  <Responsible.FullName>Sarah Lord</Responsible.FullName>
  <Responsible.Signature>lorsa1</Responsible.Signature>
  <Responsible.Posistion>Vårdenhetschef</Responsible.Posistion>
  <Responsible.Address.Phone.Default>+46768600729</Responsible.Address.Phone.Default>
  <SubOffice/>
  <Department.Name/>
  <Description>Syrgasbehandling i hemmet - information</Description>
  <Department.Address.Street/>
  <Department.Address.Email/>
  <DepartmentPostalAddress> </DepartmentPostalAddress>
  <Department.Address.Phone.Default/>
  <Department/>
  <ApprovedDate/>
  <ApproveEndDate/>
  <ApproveStartDate/>
  <DocumentTypeName>INFORMATION</DocumentTypeName>
  <Office/>
  <Office.Description/>
  <Office.Name/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Unit/>
  <Secrecy/>
  <TradeArea/>
  <SubOffice.Description/>
  <SubOffice.Name/>
  <SubOfficePostalAddress> </SubOfficePostalAddress>
  <VersionNumber>0.4</VersionNumber>
</Global_Interna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E110A-0788-4EED-98DF-3E653F1D8601}">
  <ds:schemaRefs/>
</ds:datastoreItem>
</file>

<file path=customXml/itemProps2.xml><?xml version="1.0" encoding="utf-8"?>
<ds:datastoreItem xmlns:ds="http://schemas.openxmlformats.org/officeDocument/2006/customXml" ds:itemID="{73D0FC02-1DA3-46A9-8672-A9442FA90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Jönköpings län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Fahlström Marie</cp:lastModifiedBy>
  <cp:revision>11</cp:revision>
  <cp:lastPrinted>2016-12-14T07:29:00Z</cp:lastPrinted>
  <dcterms:created xsi:type="dcterms:W3CDTF">2019-08-27T09:07:00Z</dcterms:created>
  <dcterms:modified xsi:type="dcterms:W3CDTF">2025-12-09T07:19:00Z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e6faa471-a60c-42b5-9c02-bc91c6a12dd1</vt:lpwstr>
  </property>
  <property fmtid="{D5CDD505-2E9C-101B-9397-08002B2CF9AE}" pid="3" name="ResxId">
    <vt:lpwstr>INFORMERANDE RJL</vt:lpwstr>
  </property>
  <property fmtid="{D5CDD505-2E9C-101B-9397-08002B2CF9AE}" pid="4" name="TemplateId">
    <vt:lpwstr>Global_InternalDocument</vt:lpwstr>
  </property>
</Properties>
</file>